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B1CAF" w:rsidRPr="00A438DA" w:rsidRDefault="00E546F5" w:rsidP="00266506">
      <w:pPr>
        <w:spacing w:before="100" w:beforeAutospacing="1" w:after="100" w:afterAutospacing="1"/>
        <w:ind w:left="360"/>
        <w:jc w:val="center"/>
        <w:outlineLvl w:val="1"/>
        <w:rPr>
          <w:rFonts w:ascii="Times New Roman" w:eastAsia="Times New Roman" w:hAnsi="Times New Roman" w:cs="Times New Roman"/>
          <w:color w:val="000000"/>
          <w:kern w:val="0"/>
          <w:sz w:val="36"/>
          <w:szCs w:val="36"/>
          <w:lang w:eastAsia="en-GB"/>
          <w14:ligatures w14:val="none"/>
        </w:rPr>
      </w:pPr>
      <w:r w:rsidRPr="00A438DA">
        <w:rPr>
          <w:rFonts w:ascii="Times New Roman" w:eastAsia="Times New Roman" w:hAnsi="Times New Roman" w:cs="Times New Roman"/>
          <w:color w:val="000000"/>
          <w:kern w:val="0"/>
          <w:sz w:val="36"/>
          <w:szCs w:val="36"/>
          <w:lang w:eastAsia="en-GB"/>
          <w14:ligatures w14:val="none"/>
        </w:rPr>
        <w:t>Cu privire la respectarea principiilor alegerilor libere și corecte în Moldova în cadrul alegerilor parlamentare din septembrie 2025</w:t>
      </w:r>
    </w:p>
    <w:p w:rsidR="00266506" w:rsidRPr="00A438DA" w:rsidRDefault="00266506" w:rsidP="00266506">
      <w:pPr>
        <w:spacing w:before="100" w:beforeAutospacing="1" w:after="100" w:afterAutospacing="1"/>
        <w:ind w:left="360"/>
        <w:jc w:val="center"/>
        <w:outlineLvl w:val="1"/>
        <w:rPr>
          <w:rFonts w:ascii="Times New Roman" w:eastAsia="Times New Roman" w:hAnsi="Times New Roman" w:cs="Times New Roman"/>
          <w:color w:val="000000"/>
          <w:kern w:val="0"/>
          <w:sz w:val="36"/>
          <w:szCs w:val="36"/>
          <w:lang w:eastAsia="en-GB"/>
          <w14:ligatures w14:val="none"/>
        </w:rPr>
      </w:pPr>
      <w:r w:rsidRPr="00A438DA">
        <w:rPr>
          <w:rFonts w:ascii="Times New Roman" w:eastAsia="Times New Roman" w:hAnsi="Times New Roman" w:cs="Times New Roman"/>
          <w:color w:val="000000"/>
          <w:kern w:val="0"/>
          <w:sz w:val="36"/>
          <w:szCs w:val="36"/>
          <w:lang w:eastAsia="en-GB"/>
          <w14:ligatures w14:val="none"/>
        </w:rPr>
        <w:t>(</w:t>
      </w:r>
      <w:r w:rsidR="00E546F5" w:rsidRPr="00A438DA">
        <w:rPr>
          <w:rFonts w:ascii="Times New Roman" w:eastAsia="Times New Roman" w:hAnsi="Times New Roman" w:cs="Times New Roman"/>
          <w:color w:val="000000"/>
          <w:kern w:val="0"/>
          <w:sz w:val="36"/>
          <w:szCs w:val="36"/>
          <w:lang w:eastAsia="en-GB"/>
          <w14:ligatures w14:val="none"/>
        </w:rPr>
        <w:t xml:space="preserve">raport </w:t>
      </w:r>
      <w:r w:rsidR="00A438DA">
        <w:rPr>
          <w:rFonts w:ascii="Times New Roman" w:eastAsia="Times New Roman" w:hAnsi="Times New Roman" w:cs="Times New Roman"/>
          <w:color w:val="000000"/>
          <w:kern w:val="0"/>
          <w:sz w:val="36"/>
          <w:szCs w:val="36"/>
          <w:lang w:eastAsia="en-GB"/>
          <w14:ligatures w14:val="none"/>
        </w:rPr>
        <w:t>rezumat</w:t>
      </w:r>
      <w:r w:rsidRPr="00A438DA">
        <w:rPr>
          <w:rFonts w:ascii="Times New Roman" w:eastAsia="Times New Roman" w:hAnsi="Times New Roman" w:cs="Times New Roman"/>
          <w:color w:val="000000"/>
          <w:kern w:val="0"/>
          <w:sz w:val="36"/>
          <w:szCs w:val="36"/>
          <w:lang w:eastAsia="en-GB"/>
          <w14:ligatures w14:val="none"/>
        </w:rPr>
        <w:t>)</w:t>
      </w:r>
    </w:p>
    <w:p w:rsidR="007B1CAF" w:rsidRPr="00A438DA" w:rsidRDefault="007B1CAF" w:rsidP="007B1CAF">
      <w:pPr>
        <w:spacing w:before="100" w:beforeAutospacing="1" w:after="100" w:afterAutospacing="1"/>
        <w:ind w:left="360"/>
        <w:jc w:val="both"/>
        <w:outlineLvl w:val="1"/>
        <w:rPr>
          <w:rFonts w:ascii="Times New Roman" w:eastAsia="Times New Roman" w:hAnsi="Times New Roman" w:cs="Times New Roman"/>
          <w:b/>
          <w:bCs/>
          <w:color w:val="000000"/>
          <w:kern w:val="0"/>
          <w:sz w:val="36"/>
          <w:szCs w:val="36"/>
          <w:lang w:eastAsia="en-GB"/>
          <w14:ligatures w14:val="none"/>
        </w:rPr>
      </w:pPr>
    </w:p>
    <w:p w:rsidR="00ED437C" w:rsidRPr="00A438DA" w:rsidRDefault="00ED437C"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Introduc</w:t>
      </w:r>
      <w:r w:rsidR="00E546F5" w:rsidRPr="00A438DA">
        <w:rPr>
          <w:rFonts w:ascii="Times New Roman" w:eastAsia="Times New Roman" w:hAnsi="Times New Roman" w:cs="Times New Roman"/>
          <w:lang w:eastAsia="en-GB"/>
        </w:rPr>
        <w:t>ere</w:t>
      </w:r>
    </w:p>
    <w:p w:rsidR="00E546F5" w:rsidRPr="00A438DA" w:rsidRDefault="00E546F5" w:rsidP="00E546F5">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 xml:space="preserve">Prezentul raport analizează măsura în care alegerile parlamentare desfășurate în Republica Moldova la 28 septembrie 2025 au respectat principiile fundamentale ale unor alegeri libere și corecte. Evaluarea se realizează în conformitate cu legislația națională aplicabilă și cu standardele internaționale relevante, inclusiv angajamentele asumate în </w:t>
      </w:r>
      <w:r w:rsidRPr="00BC5AC0">
        <w:rPr>
          <w:rFonts w:ascii="Times New Roman" w:eastAsia="Times New Roman" w:hAnsi="Times New Roman" w:cs="Times New Roman"/>
          <w:color w:val="000000"/>
          <w:kern w:val="0"/>
          <w:lang w:eastAsia="en-GB"/>
          <w14:ligatures w14:val="none"/>
        </w:rPr>
        <w:t>cadrul Consiliului</w:t>
      </w:r>
      <w:r w:rsidRPr="00A438DA">
        <w:rPr>
          <w:rFonts w:ascii="Times New Roman" w:eastAsia="Times New Roman" w:hAnsi="Times New Roman" w:cs="Times New Roman"/>
          <w:color w:val="000000"/>
          <w:kern w:val="0"/>
          <w:lang w:eastAsia="en-GB"/>
          <w14:ligatures w14:val="none"/>
        </w:rPr>
        <w:t xml:space="preserve"> Europei și al Organizației pentru Securitate și Cooperare în Europa.</w:t>
      </w:r>
    </w:p>
    <w:p w:rsidR="00EF3D0B" w:rsidRPr="00A438DA" w:rsidRDefault="00EF3D0B" w:rsidP="00EF3D0B">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Evaluarea se concentrează asupra elementelor-cheie ale procesului electoral, printre care se numără sufragiul universal, egalitatea votului, libertatea de exprimare, pluralismul politic, transparența procedurilor electorale și existența unor remedii eficiente. Se acordă o atenție deosebită implementării practice a acestor principii și măsurii în care alegătorii au putut să-și exercite efectiv drepturile electorale.</w:t>
      </w:r>
    </w:p>
    <w:p w:rsidR="00ED437C" w:rsidRPr="00A438DA" w:rsidRDefault="00EF3D0B"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Raportul se bazează pe informații disponibile publicului, pe prevederi legale relevante și pe evoluțiile semnalate pe parcursul perioadei electorale. Acolo unde este cazul, se face referire la informații furnizate de diverse părți interesate, inclusiv autorități publice, surse media și actori ai societății civile.</w:t>
      </w:r>
    </w:p>
    <w:p w:rsidR="00ED437C" w:rsidRPr="00A438DA" w:rsidRDefault="00EF3D0B"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Cadrul normativ și instituțional</w:t>
      </w:r>
    </w:p>
    <w:p w:rsidR="00ED437C" w:rsidRPr="00A438DA" w:rsidRDefault="000A123B"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Desfășurarea alegerilor parlamentare în Republica Moldova este reglementată în principal de Codul electoral și de legislația conexă. Aceste acte normative stabilesc cadrul pentru organizarea alegerilor, înregistrarea candidaților, desfășurarea campaniilor electorale, precum și administrarea procedurilor de votare și de numărare a voturilor.</w:t>
      </w:r>
    </w:p>
    <w:p w:rsidR="00ED437C" w:rsidRPr="00A438DA" w:rsidRDefault="000A123B"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calitate de stat participant la Organizația pentru Securitate și Cooperare în Europa și de membru al Consiliului Europei, Republica Moldova s-a angajat să respecte o serie de standarde democratice. Printre acestea se numără principiile votului universal, egal, liber și secret, precum și obligația de a asigura condițiile necesare pentru o competiție politică autentică.</w:t>
      </w:r>
    </w:p>
    <w:p w:rsidR="00ED437C" w:rsidRPr="00A438DA" w:rsidRDefault="000A123B"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Standardele internaționale subliniază, de asemenea, că drepturile electorale trebuie să fie practice și efective. Acest lucru presupune nu doar recunoașterea formală a dreptului de vot, ci și asigurarea unor oportunități rezonabile pentru ca alegătorii să-și exercite acest drept fără obstacole nejustificate</w:t>
      </w:r>
      <w:r w:rsidR="00ED437C" w:rsidRPr="00A438DA">
        <w:rPr>
          <w:rFonts w:ascii="Times New Roman" w:eastAsia="Times New Roman" w:hAnsi="Times New Roman" w:cs="Times New Roman"/>
          <w:color w:val="000000"/>
          <w:kern w:val="0"/>
          <w:lang w:eastAsia="en-GB"/>
          <w14:ligatures w14:val="none"/>
        </w:rPr>
        <w:t>.</w:t>
      </w:r>
    </w:p>
    <w:p w:rsidR="00A46D13" w:rsidRPr="00A438DA" w:rsidRDefault="007675C7"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lastRenderedPageBreak/>
        <w:t>Domeniul de aplicare și metodologia</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Prezentul raport nu își propune să ofere o descriere exhaustivă a tuturor aspectelor procesului electoral. Mai degrabă, acesta se concentrează asupra aspectelor care par să fi avut un impact potențial asupra exercitării efective a drepturilor electorale și asupra percepției generale privind integritatea alegerilor.</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Analiza se bazează pe colectarea și examinarea textelor juridice relevante, a rapoartelor disponibile publicului și a informațiilor difuzate de mass-media și de alte surse. Având în vedere natura informațiilor disponibile, anumite concluzii sunt formulate cu prudență, reflectând distincția dintre faptele verificate, alegațiile raportate și evaluările analitice.</w:t>
      </w:r>
    </w:p>
    <w:p w:rsidR="001315DE" w:rsidRDefault="001315DE"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p>
    <w:p w:rsidR="001315DE" w:rsidRDefault="001315DE"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1315DE">
        <w:rPr>
          <w:rFonts w:ascii="Times New Roman" w:eastAsia="Times New Roman" w:hAnsi="Times New Roman" w:cs="Times New Roman"/>
          <w:color w:val="000000"/>
          <w:kern w:val="0"/>
          <w:lang w:eastAsia="en-GB"/>
          <w14:ligatures w14:val="none"/>
        </w:rPr>
        <w:t>Acolo unde este cazul, raportul folosește calificative precum „raportat”, „observat” sau „a părut” pentru a reflecta baza probatorie a anumitor afirmații. Această abordare are scopul de a asigura atât acuratețea, cât și neutralitatea.</w:t>
      </w:r>
    </w:p>
    <w:p w:rsidR="003C36DC" w:rsidRPr="00A438DA" w:rsidRDefault="007675C7"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Observații generale</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Alegerile parlamentare din 28 septembrie 2025 s-au desfășurat într-un cadru instituțional bine stabilit și în conformitate cu cerințele procedurale oficiale. Organismele de administrare electorală și-au desfășurat activitatea în baza legislației în vigoare, iar procedurile de vot au respectat, în general, normele stabilite.</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același timp, au fost identificate o serie de aspecte care ar fi putut afecta măsura în care anumite principii electorale au fost pe deplin respectate în practică. Aceste aspecte se referă în primul rând la accesul la vot al anumitor grupuri de alegători, la contextul general al campaniei electorale și la anumite aspecte ale cadrului juridic și instituțional.</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evaluarea acestor aspecte, se acordă o importanță deosebită principiului conform căruia drepturile electorale trebuie nu numai garantate formal, ci și exercitate efectiv. Limitările care afectează capacitatea practică a alegătorilor de a participa pot avea implicații asupra evaluării generale a procesului electoral.</w:t>
      </w:r>
    </w:p>
    <w:p w:rsidR="004352D7" w:rsidRPr="00A438DA" w:rsidRDefault="007675C7"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Accesul la vot: cetățenii care locuiesc în străinătate</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Un număr semnificativ de cetățeni moldoveni locuiesc în străinătate, inclusiv o populație substanțială în Rusia. Organizarea votului pentru cetățenii aflați în străinătate reprezintă, prin urmare, un element important în asigurarea votului universal și egal.</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acest context, au fost exprimate îngrijorări cu privire la numărul limitat de secții de votare înființate în anumite țări. În special, disponibilitatea unui număr redus de secții de votare în Federația Rusă, în ciuda numărului mare de potențiali alegători care locuiesc acolo, pare să fi limitat capacitatea practică a multor cetățeni de a participa la alegeri.</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lastRenderedPageBreak/>
        <w:t>Având în vedere dimensiunea geografică a țării și distribuția populației, deplasarea la secțiile de votare ar fi putut necesita timp și resurse semnificative. În consecință, discrepanța dintre numărul de alegători și facilitățile de vot disponibile ar fi putut afecta exercitarea efectivă a dreptului la vot pentru o parte a electoratului.</w:t>
      </w:r>
    </w:p>
    <w:p w:rsidR="007675C7" w:rsidRPr="00A438DA" w:rsidRDefault="007675C7" w:rsidP="007675C7">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Deși statele dispun de o marjă de apreciere în organizarea votului în străinătate, standardele internaționale subliniază importanța asigurării faptului că astfel de aranjamente nu duc la limitări disproporționate ale accesului la vot.</w:t>
      </w:r>
    </w:p>
    <w:p w:rsidR="00A46D13" w:rsidRPr="00A438DA" w:rsidRDefault="00607BB9"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Aranjamente de votare cu privire la regiunea Transnistriei</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Votarea pentru locuitorii din Transnistria a fost organizată exclusiv în secțiile de votare situate pe teritoriul Moldovei controlat de guvern. Acest lucru a obligat alegătorii din regiune să traverseze linia administrativă pentru a putea participa la vot.</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Rapoartele indică faptul că, în ziua alegerilor, restricțiile de circulație, inclusiv blocarea anumitor puncte de trecere a podurilor, au limitat capacitatea unor alegători de a ajunge la secțiile de votare. În absența unor modalități alternative de vot pe teritoriul respectiv, aceste circumstanțe ar fi putut reduce posibilitatea practică a unei părți a electoratului de a-și exercita dreptul de vot.</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evaluarea acestei situații, este relevant să se ia în considerare atât cadrul juridic, cât și condițiile practice care afectează mobilitatea alegătorilor. Restricțiile privind accesul la secțiile de votare, chiar dacă nu sunt de natură formală, pot avea implicații asupra exercitării efective a drepturilor electorale.</w:t>
      </w:r>
    </w:p>
    <w:p w:rsidR="00A46D13" w:rsidRPr="00A438DA" w:rsidRDefault="00607BB9"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Egalitatea votului și accesibilitatea practică</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Principiul egalității votului impune ca toți alegătorii să aibă șanse egale de a participa la procesul electoral. Acest lucru include nu numai ponderea egală a voturilor, ci și accesul comparabil la secțiile de votare.</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Disparitățile în ceea ce privește disponibilitatea secțiilor de votare, atât pe teritoriul țării, cât și în străinătate, pot genera îngrijorări cu privire la exercitarea egală a dreptului de vot. În cazul în care anumite grupuri de alegători se confruntă cu obstacole mai mari în accesarea secțiilor de votare, acest lucru poate afecta caracterul incluziv al procesului electoral în ansamblu.</w:t>
      </w:r>
    </w:p>
    <w:p w:rsidR="00A46D13"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Asigurarea unui acces echitabil la vot necesită o analiză atentă a factorilor geografici, demografici și logistici, precum și adoptarea de măsuri menite să reducă la minimum barierele care împiedică participarea</w:t>
      </w:r>
      <w:r w:rsidR="00A46D13" w:rsidRPr="00A438DA">
        <w:rPr>
          <w:rFonts w:ascii="Times New Roman" w:eastAsia="Times New Roman" w:hAnsi="Times New Roman" w:cs="Times New Roman"/>
          <w:color w:val="000000"/>
          <w:kern w:val="0"/>
          <w:lang w:eastAsia="en-GB"/>
          <w14:ligatures w14:val="none"/>
        </w:rPr>
        <w:t>.</w:t>
      </w:r>
    </w:p>
    <w:p w:rsidR="00A46D13" w:rsidRPr="00A438DA" w:rsidRDefault="00607BB9"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lastRenderedPageBreak/>
        <w:t>Mediul campaniei</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Campania electorală s-a desfășurat într-un mediu competitiv, la care au participat numeroși actori politici. În același timp, au fost exprimate îngrijorări cu privire la anumite aspecte ale condițiilor de desfășurare a campaniei.</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Rapoartele au indicat cazuri de utilizare a resurselor administrative într-un mod care ar putea avantaja anumiți actori politici. Astfel de practici pot afecta egalitatea de șanse între candidați și pot ridica semne de întrebare cu privire la separarea dintre funcțiile statului și campania electorală.</w:t>
      </w:r>
    </w:p>
    <w:p w:rsidR="00607BB9"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Mediul mass-media a prezentat, de asemenea, provocări. Deși a existat o diversitate de surse de informare, s-au semnalat probleme legate de echilibru, independența editorială și accesul egal. Acoperirea mediatică inegală poate influența capacitatea alegătorilor de a lua decizii informate.</w:t>
      </w:r>
    </w:p>
    <w:p w:rsidR="004352D7" w:rsidRPr="00A438DA" w:rsidRDefault="00607BB9" w:rsidP="00607BB9">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plus, rapoartele privind acțiunile care au afectat jurnaliștii și profesioniștii din domeniul mass-media în perioada electorală ar fi putut contribui la percepția unei presiuni asupra mass-mediei. Libertatea de exprimare și accesul la informații sunt componente esențiale ale unui proces electoral democratic.</w:t>
      </w:r>
    </w:p>
    <w:p w:rsidR="00A46D13" w:rsidRPr="00A438DA" w:rsidRDefault="00607BB9"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Stabilitatea juridică și reformele electorale</w:t>
      </w:r>
    </w:p>
    <w:p w:rsidR="00B63F41"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perioada premergătoare alegerilor s-au constatat modificări ale legislației electorale și ale reglementărilor conexe. Deși reforma juridică este un aspect normal al evoluției procesului electoral, modificările frecvente sau tardive pot genera incertitudine și pot afecta previzibilitatea cadrului electoral.</w:t>
      </w:r>
    </w:p>
    <w:p w:rsidR="00B63F41"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Stabilitatea legislației electorale este considerată, în general, un element important al integrității electorale, întrucât permite tuturor părților interesate să își desfășoare activitatea în baza unor norme clare și consecvente.</w:t>
      </w:r>
    </w:p>
    <w:p w:rsidR="00A46D13" w:rsidRPr="00A438DA" w:rsidRDefault="00B63F41"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Evaluare generală</w:t>
      </w:r>
    </w:p>
    <w:p w:rsidR="00B63F41"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Alegerile parlamentare din 28 septembrie 2025 din Republica Moldova s-au desfășurat într-un cadru juridic și instituțional stabilit, iar procedurile electorale au fost, în general, aplicate în conformitate cu cerințele formale.</w:t>
      </w:r>
    </w:p>
    <w:p w:rsidR="00B63F41"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Cu toate acestea, o serie de factori par să fi afectat realizarea deplină, la nivel practic, a anumitor principii electorale fundamentale. Printre aceștia se numără limitările privind accesul efectiv la vot pentru anumite grupuri de alegători, preocupările legate de egalitatea condițiilor de vot și problemele legate de mediul electoral în ansamblu.</w:t>
      </w:r>
    </w:p>
    <w:p w:rsidR="00A46D13"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Luate împreună, aceste elemente ar fi putut avea un impact asupra caracterului incluziv al procesului electoral și asupra percepției publice cu privire la corectitudinea sa generală</w:t>
      </w:r>
      <w:r w:rsidR="00A46D13" w:rsidRPr="00A438DA">
        <w:rPr>
          <w:rFonts w:ascii="Times New Roman" w:eastAsia="Times New Roman" w:hAnsi="Times New Roman" w:cs="Times New Roman"/>
          <w:color w:val="000000"/>
          <w:kern w:val="0"/>
          <w:lang w:eastAsia="en-GB"/>
          <w14:ligatures w14:val="none"/>
        </w:rPr>
        <w:t>.</w:t>
      </w:r>
    </w:p>
    <w:p w:rsidR="00A46D13" w:rsidRPr="00A438DA" w:rsidRDefault="00A46D13" w:rsidP="0096790B">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lastRenderedPageBreak/>
        <w:t>Conclu</w:t>
      </w:r>
      <w:r w:rsidR="00B63F41" w:rsidRPr="00A438DA">
        <w:rPr>
          <w:rFonts w:ascii="Times New Roman" w:eastAsia="Times New Roman" w:hAnsi="Times New Roman" w:cs="Times New Roman"/>
          <w:lang w:eastAsia="en-GB"/>
        </w:rPr>
        <w:t>zii</w:t>
      </w:r>
    </w:p>
    <w:p w:rsidR="00B63F41"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Deși alegerile s-au desfășurat într-un mod structurat și organizat din punct de vedere procedural, au fost identificate anumite deficiențe în ceea ce privește implementarea efectivă a principiilor-cheie ale unor alegeri libere și corecte.</w:t>
      </w:r>
    </w:p>
    <w:p w:rsidR="00B63F41"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În special, problemele legate de accesul la vot al cetățenilor care locuiesc în străinătate și al rezidenților din regiunea Transnistriei evidențiază importanța asigurării faptului că drepturile electorale nu sunt doar garantate formal, ci pot fi exercitate și în practică.</w:t>
      </w:r>
    </w:p>
    <w:p w:rsidR="00A46D13" w:rsidRPr="00A438DA" w:rsidRDefault="00B63F41" w:rsidP="00B63F4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Abordarea acestor provocări ar contribui la consolidarea încrederii publicului în procesul electoral și la îmbunătățirea respectării standardelor democratice internaționale</w:t>
      </w:r>
      <w:r w:rsidR="00A46D13" w:rsidRPr="00A438DA">
        <w:rPr>
          <w:rFonts w:ascii="Times New Roman" w:eastAsia="Times New Roman" w:hAnsi="Times New Roman" w:cs="Times New Roman"/>
          <w:color w:val="000000"/>
          <w:kern w:val="0"/>
          <w:lang w:eastAsia="en-GB"/>
          <w14:ligatures w14:val="none"/>
        </w:rPr>
        <w:t>.</w:t>
      </w:r>
    </w:p>
    <w:p w:rsidR="00B63F41" w:rsidRPr="00A438DA" w:rsidRDefault="00A46D13" w:rsidP="00B63F41">
      <w:pPr>
        <w:pStyle w:val="Heading1"/>
        <w:numPr>
          <w:ilvl w:val="0"/>
          <w:numId w:val="5"/>
        </w:numPr>
        <w:rPr>
          <w:rFonts w:ascii="Times New Roman" w:eastAsia="Times New Roman" w:hAnsi="Times New Roman" w:cs="Times New Roman"/>
          <w:lang w:eastAsia="en-GB"/>
        </w:rPr>
      </w:pPr>
      <w:r w:rsidRPr="00A438DA">
        <w:rPr>
          <w:rFonts w:ascii="Times New Roman" w:eastAsia="Times New Roman" w:hAnsi="Times New Roman" w:cs="Times New Roman"/>
          <w:lang w:eastAsia="en-GB"/>
        </w:rPr>
        <w:t>Recom</w:t>
      </w:r>
      <w:r w:rsidR="00B63F41" w:rsidRPr="00A438DA">
        <w:rPr>
          <w:rFonts w:ascii="Times New Roman" w:eastAsia="Times New Roman" w:hAnsi="Times New Roman" w:cs="Times New Roman"/>
          <w:lang w:eastAsia="en-GB"/>
        </w:rPr>
        <w:t>andări</w:t>
      </w:r>
    </w:p>
    <w:p w:rsidR="00B63F41" w:rsidRPr="00A438DA" w:rsidRDefault="00B63F41" w:rsidP="00B63F41">
      <w:pPr>
        <w:rPr>
          <w:rFonts w:ascii="Times New Roman" w:hAnsi="Times New Roman" w:cs="Times New Roman"/>
          <w:lang w:eastAsia="en-GB"/>
        </w:rPr>
      </w:pPr>
    </w:p>
    <w:p w:rsidR="00B63F41" w:rsidRPr="00A438DA" w:rsidRDefault="00B63F41" w:rsidP="00B63F41">
      <w:pPr>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Având în vedere aspectele menționate mai sus, ar putea fi luate în considerare următoarele măsuri:</w:t>
      </w:r>
    </w:p>
    <w:p w:rsidR="00B63F41" w:rsidRPr="00A438DA" w:rsidRDefault="00B63F41" w:rsidP="00B63F41">
      <w:pPr>
        <w:pStyle w:val="ListParagraph"/>
        <w:numPr>
          <w:ilvl w:val="0"/>
          <w:numId w:val="7"/>
        </w:numPr>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Îmbunătățirea aranjamentelor de votare pentru cetățenii care locuiesc în străinătate, în vederea sporirii accesibilității și a proporționalității;</w:t>
      </w:r>
    </w:p>
    <w:p w:rsidR="00B63F41" w:rsidRPr="00A438DA" w:rsidRDefault="00B63F41" w:rsidP="00B63F41">
      <w:pPr>
        <w:pStyle w:val="ListParagraph"/>
        <w:numPr>
          <w:ilvl w:val="0"/>
          <w:numId w:val="7"/>
        </w:numPr>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Revizuirea mecanismelor menite să faciliteze participarea alegătorilor din teritoriile necontrolate, acolo unde este posibil;</w:t>
      </w:r>
    </w:p>
    <w:p w:rsidR="00B63F41" w:rsidRPr="00A438DA" w:rsidRDefault="00B63F41" w:rsidP="00B63F41">
      <w:pPr>
        <w:pStyle w:val="ListParagraph"/>
        <w:numPr>
          <w:ilvl w:val="0"/>
          <w:numId w:val="7"/>
        </w:numPr>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Consolidarea garanțiilor împotriva utilizării abuzive a resurselor administrative;</w:t>
      </w:r>
    </w:p>
    <w:p w:rsidR="00B63F41" w:rsidRPr="00A438DA" w:rsidRDefault="00B63F41" w:rsidP="00B63F41">
      <w:pPr>
        <w:pStyle w:val="ListParagraph"/>
        <w:numPr>
          <w:ilvl w:val="0"/>
          <w:numId w:val="7"/>
        </w:numPr>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Promovarea unei acoperiri mediatice echilibrate și independente în timpul campaniilor electorale;</w:t>
      </w:r>
    </w:p>
    <w:p w:rsidR="00B63F41" w:rsidRPr="00A438DA" w:rsidRDefault="00B63F41" w:rsidP="00B63F41">
      <w:pPr>
        <w:pStyle w:val="ListParagraph"/>
        <w:numPr>
          <w:ilvl w:val="0"/>
          <w:numId w:val="7"/>
        </w:numPr>
        <w:jc w:val="both"/>
        <w:rPr>
          <w:rFonts w:ascii="Times New Roman" w:eastAsia="Times New Roman" w:hAnsi="Times New Roman" w:cs="Times New Roman"/>
          <w:color w:val="000000"/>
          <w:kern w:val="0"/>
          <w:lang w:eastAsia="en-GB"/>
          <w14:ligatures w14:val="none"/>
        </w:rPr>
      </w:pPr>
      <w:r w:rsidRPr="00A438DA">
        <w:rPr>
          <w:rFonts w:ascii="Times New Roman" w:eastAsia="Times New Roman" w:hAnsi="Times New Roman" w:cs="Times New Roman"/>
          <w:color w:val="000000"/>
          <w:kern w:val="0"/>
          <w:lang w:eastAsia="en-GB"/>
          <w14:ligatures w14:val="none"/>
        </w:rPr>
        <w:t>Asigurarea unei mai mari stabilități și transparențe în legislația electorală.</w:t>
      </w:r>
    </w:p>
    <w:p w:rsidR="00A46D13" w:rsidRPr="00A438DA"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p>
    <w:p w:rsidR="00A46D13" w:rsidRPr="00A438DA"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p>
    <w:p w:rsidR="00DD2CAA" w:rsidRPr="00A438DA" w:rsidRDefault="00DD2CAA" w:rsidP="00790B51">
      <w:pPr>
        <w:jc w:val="both"/>
        <w:rPr>
          <w:rFonts w:ascii="Times New Roman" w:hAnsi="Times New Roman" w:cs="Times New Roman"/>
        </w:rPr>
      </w:pPr>
    </w:p>
    <w:sectPr w:rsidR="00DD2CAA" w:rsidRPr="00A438DA">
      <w:headerReference w:type="default" r:id="rId7"/>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6251E" w:rsidRDefault="0066251E" w:rsidP="00F73C7D">
      <w:r>
        <w:separator/>
      </w:r>
    </w:p>
  </w:endnote>
  <w:endnote w:type="continuationSeparator" w:id="0">
    <w:p w:rsidR="0066251E" w:rsidRDefault="0066251E" w:rsidP="00F73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Edwardian Script ITC">
    <w:panose1 w:val="030303020407070D0804"/>
    <w:charset w:val="4D"/>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9174084"/>
      <w:docPartObj>
        <w:docPartGallery w:val="Page Numbers (Bottom of Page)"/>
        <w:docPartUnique/>
      </w:docPartObj>
    </w:sdtPr>
    <w:sdtContent>
      <w:p w:rsidR="00F73C7D" w:rsidRDefault="00F73C7D" w:rsidP="00CA21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rsidR="00F73C7D" w:rsidRDefault="00F73C7D" w:rsidP="00F73C7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08424121"/>
      <w:docPartObj>
        <w:docPartGallery w:val="Page Numbers (Bottom of Page)"/>
        <w:docPartUnique/>
      </w:docPartObj>
    </w:sdtPr>
    <w:sdtEndPr>
      <w:rPr>
        <w:rStyle w:val="PageNumber"/>
        <w:color w:val="4472C4" w:themeColor="accent1"/>
      </w:rPr>
    </w:sdtEndPr>
    <w:sdtContent>
      <w:p w:rsidR="00F73C7D" w:rsidRPr="0096790B" w:rsidRDefault="00F73C7D" w:rsidP="00CA2170">
        <w:pPr>
          <w:pStyle w:val="Footer"/>
          <w:framePr w:wrap="none" w:vAnchor="text" w:hAnchor="margin" w:xAlign="right" w:y="1"/>
          <w:rPr>
            <w:rStyle w:val="PageNumber"/>
            <w:color w:val="4472C4" w:themeColor="accent1"/>
          </w:rPr>
        </w:pPr>
        <w:r w:rsidRPr="0096790B">
          <w:rPr>
            <w:rStyle w:val="PageNumber"/>
            <w:color w:val="4472C4" w:themeColor="accent1"/>
          </w:rPr>
          <w:fldChar w:fldCharType="begin"/>
        </w:r>
        <w:r w:rsidRPr="0096790B">
          <w:rPr>
            <w:rStyle w:val="PageNumber"/>
            <w:color w:val="4472C4" w:themeColor="accent1"/>
          </w:rPr>
          <w:instrText xml:space="preserve"> PAGE </w:instrText>
        </w:r>
        <w:r w:rsidRPr="0096790B">
          <w:rPr>
            <w:rStyle w:val="PageNumber"/>
            <w:color w:val="4472C4" w:themeColor="accent1"/>
          </w:rPr>
          <w:fldChar w:fldCharType="separate"/>
        </w:r>
        <w:r w:rsidRPr="0096790B">
          <w:rPr>
            <w:rStyle w:val="PageNumber"/>
            <w:noProof/>
            <w:color w:val="4472C4" w:themeColor="accent1"/>
          </w:rPr>
          <w:t>1</w:t>
        </w:r>
        <w:r w:rsidRPr="0096790B">
          <w:rPr>
            <w:rStyle w:val="PageNumber"/>
            <w:color w:val="4472C4" w:themeColor="accent1"/>
          </w:rPr>
          <w:fldChar w:fldCharType="end"/>
        </w:r>
      </w:p>
    </w:sdtContent>
  </w:sdt>
  <w:p w:rsidR="00F73C7D" w:rsidRPr="0096790B" w:rsidRDefault="00F73C7D" w:rsidP="00F73C7D">
    <w:pPr>
      <w:pStyle w:val="Footer"/>
      <w:ind w:right="360"/>
      <w:rPr>
        <w:color w:val="4472C4" w:themeColor="accen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6251E" w:rsidRDefault="0066251E" w:rsidP="00F73C7D">
      <w:r>
        <w:separator/>
      </w:r>
    </w:p>
  </w:footnote>
  <w:footnote w:type="continuationSeparator" w:id="0">
    <w:p w:rsidR="0066251E" w:rsidRDefault="0066251E" w:rsidP="00F73C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F298D" w:rsidRPr="00A438DA" w:rsidRDefault="00FF298D" w:rsidP="007B1CAF">
    <w:pPr>
      <w:pStyle w:val="Header"/>
      <w:jc w:val="center"/>
      <w:rPr>
        <w:rFonts w:ascii="Edwardian Script ITC" w:hAnsi="Edwardian Script ITC"/>
        <w:color w:val="2F5496" w:themeColor="accent1" w:themeShade="BF"/>
        <w:sz w:val="32"/>
        <w:szCs w:val="32"/>
        <w:lang w:val="en-GB"/>
      </w:rPr>
    </w:pPr>
    <w:proofErr w:type="spellStart"/>
    <w:r w:rsidRPr="00A438DA">
      <w:rPr>
        <w:rFonts w:ascii="Edwardian Script ITC" w:hAnsi="Edwardian Script ITC"/>
        <w:color w:val="2F5496" w:themeColor="accent1" w:themeShade="BF"/>
        <w:sz w:val="32"/>
        <w:szCs w:val="32"/>
        <w:lang w:val="en-GB"/>
      </w:rPr>
      <w:t>Centrul</w:t>
    </w:r>
    <w:proofErr w:type="spellEnd"/>
    <w:r w:rsidRPr="00A438DA">
      <w:rPr>
        <w:rFonts w:ascii="Edwardian Script ITC" w:hAnsi="Edwardian Script ITC"/>
        <w:color w:val="2F5496" w:themeColor="accent1" w:themeShade="BF"/>
        <w:sz w:val="32"/>
        <w:szCs w:val="32"/>
        <w:lang w:val="en-GB"/>
      </w:rPr>
      <w:t xml:space="preserve"> Interna</w:t>
    </w:r>
    <w:r w:rsidR="00A438DA" w:rsidRPr="00A438DA">
      <w:rPr>
        <w:rFonts w:ascii="Edwardian Script ITC" w:hAnsi="Edwardian Script ITC" w:cs="Cambria"/>
        <w:color w:val="2F5496" w:themeColor="accent1" w:themeShade="BF"/>
        <w:sz w:val="32"/>
        <w:szCs w:val="32"/>
        <w:lang w:val="en-GB"/>
      </w:rPr>
      <w:t>t</w:t>
    </w:r>
    <w:r w:rsidRPr="00A438DA">
      <w:rPr>
        <w:rFonts w:ascii="Edwardian Script ITC" w:hAnsi="Edwardian Script ITC"/>
        <w:color w:val="2F5496" w:themeColor="accent1" w:themeShade="BF"/>
        <w:sz w:val="32"/>
        <w:szCs w:val="32"/>
        <w:lang w:val="en-GB"/>
      </w:rPr>
      <w:t xml:space="preserve">ional de </w:t>
    </w:r>
    <w:proofErr w:type="spellStart"/>
    <w:r w:rsidRPr="00A438DA">
      <w:rPr>
        <w:rFonts w:ascii="Edwardian Script ITC" w:hAnsi="Edwardian Script ITC"/>
        <w:color w:val="2F5496" w:themeColor="accent1" w:themeShade="BF"/>
        <w:sz w:val="32"/>
        <w:szCs w:val="32"/>
        <w:lang w:val="en-GB"/>
      </w:rPr>
      <w:t>Ap</w:t>
    </w:r>
    <w:r w:rsidR="00A438DA" w:rsidRPr="00A438DA">
      <w:rPr>
        <w:rFonts w:ascii="Edwardian Script ITC" w:hAnsi="Edwardian Script ITC" w:cs="Cambria"/>
        <w:color w:val="2F5496" w:themeColor="accent1" w:themeShade="BF"/>
        <w:sz w:val="32"/>
        <w:szCs w:val="32"/>
        <w:lang w:val="en-GB"/>
      </w:rPr>
      <w:t>a</w:t>
    </w:r>
    <w:r w:rsidRPr="00A438DA">
      <w:rPr>
        <w:rFonts w:ascii="Edwardian Script ITC" w:hAnsi="Edwardian Script ITC"/>
        <w:color w:val="2F5496" w:themeColor="accent1" w:themeShade="BF"/>
        <w:sz w:val="32"/>
        <w:szCs w:val="32"/>
        <w:lang w:val="en-GB"/>
      </w:rPr>
      <w:t>rare</w:t>
    </w:r>
    <w:proofErr w:type="spellEnd"/>
    <w:r w:rsidRPr="00A438DA">
      <w:rPr>
        <w:rFonts w:ascii="Edwardian Script ITC" w:hAnsi="Edwardian Script ITC"/>
        <w:color w:val="2F5496" w:themeColor="accent1" w:themeShade="BF"/>
        <w:sz w:val="32"/>
        <w:szCs w:val="32"/>
        <w:lang w:val="en-GB"/>
      </w:rPr>
      <w:t xml:space="preserve"> a </w:t>
    </w:r>
    <w:proofErr w:type="spellStart"/>
    <w:r w:rsidRPr="00A438DA">
      <w:rPr>
        <w:rFonts w:ascii="Edwardian Script ITC" w:hAnsi="Edwardian Script ITC"/>
        <w:color w:val="2F5496" w:themeColor="accent1" w:themeShade="BF"/>
        <w:sz w:val="32"/>
        <w:szCs w:val="32"/>
        <w:lang w:val="en-GB"/>
      </w:rPr>
      <w:t>Drepturilor</w:t>
    </w:r>
    <w:proofErr w:type="spellEnd"/>
    <w:r w:rsidRPr="00A438DA">
      <w:rPr>
        <w:rFonts w:ascii="Edwardian Script ITC" w:hAnsi="Edwardian Script ITC"/>
        <w:color w:val="2F5496" w:themeColor="accent1" w:themeShade="BF"/>
        <w:sz w:val="32"/>
        <w:szCs w:val="32"/>
        <w:lang w:val="en-GB"/>
      </w:rPr>
      <w:t xml:space="preserve"> </w:t>
    </w:r>
    <w:proofErr w:type="spellStart"/>
    <w:r w:rsidRPr="00A438DA">
      <w:rPr>
        <w:rFonts w:ascii="Edwardian Script ITC" w:hAnsi="Edwardian Script ITC"/>
        <w:color w:val="2F5496" w:themeColor="accent1" w:themeShade="BF"/>
        <w:sz w:val="32"/>
        <w:szCs w:val="32"/>
        <w:lang w:val="en-GB"/>
      </w:rPr>
      <w:t>Omului</w:t>
    </w:r>
    <w:proofErr w:type="spellEnd"/>
    <w:r w:rsidRPr="00A438DA">
      <w:rPr>
        <w:rFonts w:ascii="Edwardian Script ITC" w:hAnsi="Edwardian Script ITC"/>
        <w:color w:val="2F5496" w:themeColor="accent1" w:themeShade="BF"/>
        <w:sz w:val="32"/>
        <w:szCs w:val="32"/>
        <w:lang w:val="en-GB"/>
      </w:rPr>
      <w:t xml:space="preserve"> </w:t>
    </w:r>
    <w:proofErr w:type="spellStart"/>
    <w:r w:rsidR="00A438DA" w:rsidRPr="00A438DA">
      <w:rPr>
        <w:rFonts w:ascii="Edwardian Script ITC" w:hAnsi="Edwardian Script ITC" w:cs="Cambria"/>
        <w:color w:val="2F5496" w:themeColor="accent1" w:themeShade="BF"/>
        <w:sz w:val="32"/>
        <w:szCs w:val="32"/>
        <w:lang w:val="en-GB"/>
      </w:rPr>
      <w:t>s</w:t>
    </w:r>
    <w:r w:rsidRPr="00A438DA">
      <w:rPr>
        <w:rFonts w:ascii="Edwardian Script ITC" w:hAnsi="Edwardian Script ITC"/>
        <w:color w:val="2F5496" w:themeColor="accent1" w:themeShade="BF"/>
        <w:sz w:val="32"/>
        <w:szCs w:val="32"/>
        <w:lang w:val="en-GB"/>
      </w:rPr>
      <w:t>i</w:t>
    </w:r>
    <w:proofErr w:type="spellEnd"/>
    <w:r w:rsidRPr="00A438DA">
      <w:rPr>
        <w:rFonts w:ascii="Edwardian Script ITC" w:hAnsi="Edwardian Script ITC"/>
        <w:color w:val="2F5496" w:themeColor="accent1" w:themeShade="BF"/>
        <w:sz w:val="32"/>
        <w:szCs w:val="32"/>
        <w:lang w:val="en-GB"/>
      </w:rPr>
      <w:t xml:space="preserve"> a </w:t>
    </w:r>
    <w:proofErr w:type="spellStart"/>
    <w:r w:rsidRPr="00A438DA">
      <w:rPr>
        <w:rFonts w:ascii="Edwardian Script ITC" w:hAnsi="Edwardian Script ITC"/>
        <w:color w:val="2F5496" w:themeColor="accent1" w:themeShade="BF"/>
        <w:sz w:val="32"/>
        <w:szCs w:val="32"/>
        <w:lang w:val="en-GB"/>
      </w:rPr>
      <w:t>Democra</w:t>
    </w:r>
    <w:r w:rsidR="00A438DA" w:rsidRPr="00A438DA">
      <w:rPr>
        <w:rFonts w:ascii="Edwardian Script ITC" w:hAnsi="Edwardian Script ITC" w:cs="Cambria"/>
        <w:color w:val="2F5496" w:themeColor="accent1" w:themeShade="BF"/>
        <w:sz w:val="32"/>
        <w:szCs w:val="32"/>
        <w:lang w:val="en-GB"/>
      </w:rPr>
      <w:t>t</w:t>
    </w:r>
    <w:r w:rsidRPr="00A438DA">
      <w:rPr>
        <w:rFonts w:ascii="Edwardian Script ITC" w:hAnsi="Edwardian Script ITC"/>
        <w:color w:val="2F5496" w:themeColor="accent1" w:themeShade="BF"/>
        <w:sz w:val="32"/>
        <w:szCs w:val="32"/>
        <w:lang w:val="en-GB"/>
      </w:rPr>
      <w:t>iei</w:t>
    </w:r>
    <w:proofErr w:type="spellEnd"/>
  </w:p>
  <w:p w:rsidR="0096790B" w:rsidRPr="00A438DA" w:rsidRDefault="0096790B">
    <w:pPr>
      <w:rPr>
        <w:rFonts w:ascii="Edwardian Script ITC" w:hAnsi="Edwardian Script IT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E2297"/>
    <w:multiLevelType w:val="hybridMultilevel"/>
    <w:tmpl w:val="77F0CADC"/>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A96B8D"/>
    <w:multiLevelType w:val="hybridMultilevel"/>
    <w:tmpl w:val="37FE783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AD1190A"/>
    <w:multiLevelType w:val="hybridMultilevel"/>
    <w:tmpl w:val="4CA4C1E6"/>
    <w:lvl w:ilvl="0" w:tplc="FDC4FA8A">
      <w:start w:val="2"/>
      <w:numFmt w:val="bullet"/>
      <w:lvlText w:val="•"/>
      <w:lvlJc w:val="left"/>
      <w:pPr>
        <w:ind w:left="820" w:hanging="4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354DC7"/>
    <w:multiLevelType w:val="hybridMultilevel"/>
    <w:tmpl w:val="482AD042"/>
    <w:lvl w:ilvl="0" w:tplc="8E42F4F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FE728B"/>
    <w:multiLevelType w:val="multilevel"/>
    <w:tmpl w:val="2C5E6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71147B"/>
    <w:multiLevelType w:val="hybridMultilevel"/>
    <w:tmpl w:val="F198D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D32751"/>
    <w:multiLevelType w:val="hybridMultilevel"/>
    <w:tmpl w:val="67AA6318"/>
    <w:lvl w:ilvl="0" w:tplc="8E42F4F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0120724">
    <w:abstractNumId w:val="4"/>
  </w:num>
  <w:num w:numId="2" w16cid:durableId="1582060565">
    <w:abstractNumId w:val="0"/>
  </w:num>
  <w:num w:numId="3" w16cid:durableId="1961837429">
    <w:abstractNumId w:val="1"/>
  </w:num>
  <w:num w:numId="4" w16cid:durableId="1748187040">
    <w:abstractNumId w:val="3"/>
  </w:num>
  <w:num w:numId="5" w16cid:durableId="31662548">
    <w:abstractNumId w:val="6"/>
  </w:num>
  <w:num w:numId="6" w16cid:durableId="1721978940">
    <w:abstractNumId w:val="5"/>
  </w:num>
  <w:num w:numId="7" w16cid:durableId="1941254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F48"/>
    <w:rsid w:val="00006A67"/>
    <w:rsid w:val="000269F0"/>
    <w:rsid w:val="00086134"/>
    <w:rsid w:val="000A123B"/>
    <w:rsid w:val="000A312C"/>
    <w:rsid w:val="001315DE"/>
    <w:rsid w:val="00266506"/>
    <w:rsid w:val="002A5094"/>
    <w:rsid w:val="00384061"/>
    <w:rsid w:val="003B1586"/>
    <w:rsid w:val="003C36DC"/>
    <w:rsid w:val="004352D7"/>
    <w:rsid w:val="00494424"/>
    <w:rsid w:val="005373AE"/>
    <w:rsid w:val="00607BB9"/>
    <w:rsid w:val="00644E46"/>
    <w:rsid w:val="0066251E"/>
    <w:rsid w:val="006876C3"/>
    <w:rsid w:val="006E4C37"/>
    <w:rsid w:val="007675C7"/>
    <w:rsid w:val="00790B51"/>
    <w:rsid w:val="007B1CAF"/>
    <w:rsid w:val="007D0B9D"/>
    <w:rsid w:val="00885D99"/>
    <w:rsid w:val="00892A69"/>
    <w:rsid w:val="00921EAC"/>
    <w:rsid w:val="0096790B"/>
    <w:rsid w:val="00997FF7"/>
    <w:rsid w:val="00A438DA"/>
    <w:rsid w:val="00A46D13"/>
    <w:rsid w:val="00A61DAC"/>
    <w:rsid w:val="00AF3A61"/>
    <w:rsid w:val="00B63F41"/>
    <w:rsid w:val="00BC5AC0"/>
    <w:rsid w:val="00CC3014"/>
    <w:rsid w:val="00CE4F1B"/>
    <w:rsid w:val="00D12278"/>
    <w:rsid w:val="00DD2CAA"/>
    <w:rsid w:val="00E20579"/>
    <w:rsid w:val="00E4620B"/>
    <w:rsid w:val="00E546F5"/>
    <w:rsid w:val="00EA4148"/>
    <w:rsid w:val="00EB4F48"/>
    <w:rsid w:val="00ED437C"/>
    <w:rsid w:val="00EE5308"/>
    <w:rsid w:val="00EF3D0B"/>
    <w:rsid w:val="00EF42DB"/>
    <w:rsid w:val="00EF7112"/>
    <w:rsid w:val="00F07675"/>
    <w:rsid w:val="00F73C7D"/>
    <w:rsid w:val="00FF2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655F7"/>
  <w15:chartTrackingRefBased/>
  <w15:docId w15:val="{8C7DF11E-B5FB-A644-9695-B1A62B8C8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EB4F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B4F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B4F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B4F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B4F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B4F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F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F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F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F48"/>
    <w:rPr>
      <w:rFonts w:asciiTheme="majorHAnsi" w:eastAsiaTheme="majorEastAsia" w:hAnsiTheme="majorHAnsi" w:cstheme="majorBidi"/>
      <w:color w:val="2F5496" w:themeColor="accent1" w:themeShade="BF"/>
      <w:sz w:val="40"/>
      <w:szCs w:val="40"/>
      <w:lang w:val="ro-RO"/>
    </w:rPr>
  </w:style>
  <w:style w:type="character" w:customStyle="1" w:styleId="Heading2Char">
    <w:name w:val="Heading 2 Char"/>
    <w:basedOn w:val="DefaultParagraphFont"/>
    <w:link w:val="Heading2"/>
    <w:uiPriority w:val="9"/>
    <w:rsid w:val="00EB4F48"/>
    <w:rPr>
      <w:rFonts w:asciiTheme="majorHAnsi" w:eastAsiaTheme="majorEastAsia" w:hAnsiTheme="majorHAnsi" w:cstheme="majorBidi"/>
      <w:color w:val="2F5496" w:themeColor="accent1" w:themeShade="BF"/>
      <w:sz w:val="32"/>
      <w:szCs w:val="32"/>
      <w:lang w:val="ro-RO"/>
    </w:rPr>
  </w:style>
  <w:style w:type="character" w:customStyle="1" w:styleId="Heading3Char">
    <w:name w:val="Heading 3 Char"/>
    <w:basedOn w:val="DefaultParagraphFont"/>
    <w:link w:val="Heading3"/>
    <w:uiPriority w:val="9"/>
    <w:semiHidden/>
    <w:rsid w:val="00EB4F48"/>
    <w:rPr>
      <w:rFonts w:eastAsiaTheme="majorEastAsia" w:cstheme="majorBidi"/>
      <w:color w:val="2F5496" w:themeColor="accent1" w:themeShade="BF"/>
      <w:sz w:val="28"/>
      <w:szCs w:val="28"/>
      <w:lang w:val="ro-RO"/>
    </w:rPr>
  </w:style>
  <w:style w:type="character" w:customStyle="1" w:styleId="Heading4Char">
    <w:name w:val="Heading 4 Char"/>
    <w:basedOn w:val="DefaultParagraphFont"/>
    <w:link w:val="Heading4"/>
    <w:uiPriority w:val="9"/>
    <w:semiHidden/>
    <w:rsid w:val="00EB4F48"/>
    <w:rPr>
      <w:rFonts w:eastAsiaTheme="majorEastAsia" w:cstheme="majorBidi"/>
      <w:i/>
      <w:iCs/>
      <w:color w:val="2F5496" w:themeColor="accent1" w:themeShade="BF"/>
      <w:lang w:val="ro-RO"/>
    </w:rPr>
  </w:style>
  <w:style w:type="character" w:customStyle="1" w:styleId="Heading5Char">
    <w:name w:val="Heading 5 Char"/>
    <w:basedOn w:val="DefaultParagraphFont"/>
    <w:link w:val="Heading5"/>
    <w:uiPriority w:val="9"/>
    <w:semiHidden/>
    <w:rsid w:val="00EB4F48"/>
    <w:rPr>
      <w:rFonts w:eastAsiaTheme="majorEastAsia" w:cstheme="majorBidi"/>
      <w:color w:val="2F5496" w:themeColor="accent1" w:themeShade="BF"/>
      <w:lang w:val="ro-RO"/>
    </w:rPr>
  </w:style>
  <w:style w:type="character" w:customStyle="1" w:styleId="Heading6Char">
    <w:name w:val="Heading 6 Char"/>
    <w:basedOn w:val="DefaultParagraphFont"/>
    <w:link w:val="Heading6"/>
    <w:uiPriority w:val="9"/>
    <w:semiHidden/>
    <w:rsid w:val="00EB4F48"/>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EB4F48"/>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EB4F48"/>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EB4F48"/>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EB4F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F48"/>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EB4F4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F48"/>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EB4F4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B4F48"/>
    <w:rPr>
      <w:i/>
      <w:iCs/>
      <w:color w:val="404040" w:themeColor="text1" w:themeTint="BF"/>
      <w:lang w:val="ro-RO"/>
    </w:rPr>
  </w:style>
  <w:style w:type="paragraph" w:styleId="ListParagraph">
    <w:name w:val="List Paragraph"/>
    <w:basedOn w:val="Normal"/>
    <w:uiPriority w:val="34"/>
    <w:qFormat/>
    <w:rsid w:val="00EB4F48"/>
    <w:pPr>
      <w:ind w:left="720"/>
      <w:contextualSpacing/>
    </w:pPr>
  </w:style>
  <w:style w:type="character" w:styleId="IntenseEmphasis">
    <w:name w:val="Intense Emphasis"/>
    <w:basedOn w:val="DefaultParagraphFont"/>
    <w:uiPriority w:val="21"/>
    <w:qFormat/>
    <w:rsid w:val="00EB4F48"/>
    <w:rPr>
      <w:i/>
      <w:iCs/>
      <w:color w:val="2F5496" w:themeColor="accent1" w:themeShade="BF"/>
    </w:rPr>
  </w:style>
  <w:style w:type="paragraph" w:styleId="IntenseQuote">
    <w:name w:val="Intense Quote"/>
    <w:basedOn w:val="Normal"/>
    <w:next w:val="Normal"/>
    <w:link w:val="IntenseQuoteChar"/>
    <w:uiPriority w:val="30"/>
    <w:qFormat/>
    <w:rsid w:val="00EB4F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B4F48"/>
    <w:rPr>
      <w:i/>
      <w:iCs/>
      <w:color w:val="2F5496" w:themeColor="accent1" w:themeShade="BF"/>
      <w:lang w:val="ro-RO"/>
    </w:rPr>
  </w:style>
  <w:style w:type="character" w:styleId="IntenseReference">
    <w:name w:val="Intense Reference"/>
    <w:basedOn w:val="DefaultParagraphFont"/>
    <w:uiPriority w:val="32"/>
    <w:qFormat/>
    <w:rsid w:val="00EB4F48"/>
    <w:rPr>
      <w:b/>
      <w:bCs/>
      <w:smallCaps/>
      <w:color w:val="2F5496" w:themeColor="accent1" w:themeShade="BF"/>
      <w:spacing w:val="5"/>
    </w:rPr>
  </w:style>
  <w:style w:type="paragraph" w:styleId="NormalWeb">
    <w:name w:val="Normal (Web)"/>
    <w:basedOn w:val="Normal"/>
    <w:uiPriority w:val="99"/>
    <w:semiHidden/>
    <w:unhideWhenUsed/>
    <w:rsid w:val="00ED437C"/>
    <w:pPr>
      <w:spacing w:before="100" w:beforeAutospacing="1" w:after="100" w:afterAutospacing="1"/>
    </w:pPr>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F73C7D"/>
    <w:pPr>
      <w:tabs>
        <w:tab w:val="center" w:pos="4513"/>
        <w:tab w:val="right" w:pos="9026"/>
      </w:tabs>
    </w:pPr>
  </w:style>
  <w:style w:type="character" w:customStyle="1" w:styleId="FooterChar">
    <w:name w:val="Footer Char"/>
    <w:basedOn w:val="DefaultParagraphFont"/>
    <w:link w:val="Footer"/>
    <w:uiPriority w:val="99"/>
    <w:rsid w:val="00F73C7D"/>
    <w:rPr>
      <w:lang w:val="ro-RO"/>
    </w:rPr>
  </w:style>
  <w:style w:type="character" w:styleId="PageNumber">
    <w:name w:val="page number"/>
    <w:basedOn w:val="DefaultParagraphFont"/>
    <w:uiPriority w:val="99"/>
    <w:semiHidden/>
    <w:unhideWhenUsed/>
    <w:rsid w:val="00F73C7D"/>
  </w:style>
  <w:style w:type="character" w:customStyle="1" w:styleId="apple-converted-space">
    <w:name w:val="apple-converted-space"/>
    <w:basedOn w:val="DefaultParagraphFont"/>
    <w:rsid w:val="00790B51"/>
  </w:style>
  <w:style w:type="character" w:customStyle="1" w:styleId="whitespace-normal">
    <w:name w:val="whitespace-normal"/>
    <w:basedOn w:val="DefaultParagraphFont"/>
    <w:rsid w:val="00790B51"/>
  </w:style>
  <w:style w:type="paragraph" w:styleId="Header">
    <w:name w:val="header"/>
    <w:basedOn w:val="Normal"/>
    <w:link w:val="HeaderChar"/>
    <w:uiPriority w:val="99"/>
    <w:unhideWhenUsed/>
    <w:rsid w:val="007B1CAF"/>
    <w:pPr>
      <w:tabs>
        <w:tab w:val="center" w:pos="4513"/>
        <w:tab w:val="right" w:pos="9026"/>
      </w:tabs>
    </w:pPr>
  </w:style>
  <w:style w:type="character" w:customStyle="1" w:styleId="HeaderChar">
    <w:name w:val="Header Char"/>
    <w:basedOn w:val="DefaultParagraphFont"/>
    <w:link w:val="Header"/>
    <w:uiPriority w:val="99"/>
    <w:rsid w:val="007B1CAF"/>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1703</Words>
  <Characters>9709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Stanislav Pavlovschi</dc:creator>
  <cp:keywords/>
  <dc:description/>
  <cp:lastModifiedBy>Stanislav Pavlovschi</cp:lastModifiedBy>
  <cp:revision>3</cp:revision>
  <dcterms:created xsi:type="dcterms:W3CDTF">2026-03-31T05:28:00Z</dcterms:created>
  <dcterms:modified xsi:type="dcterms:W3CDTF">2026-03-31T05:36:00Z</dcterms:modified>
</cp:coreProperties>
</file>