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B1CAF" w:rsidRPr="00266506" w:rsidRDefault="00266506" w:rsidP="00266506">
      <w:pPr>
        <w:spacing w:before="100" w:beforeAutospacing="1" w:after="100" w:afterAutospacing="1"/>
        <w:ind w:left="360"/>
        <w:jc w:val="center"/>
        <w:outlineLvl w:val="1"/>
        <w:rPr>
          <w:rFonts w:ascii="Times New Roman" w:eastAsia="Times New Roman" w:hAnsi="Times New Roman" w:cs="Times New Roman"/>
          <w:color w:val="000000"/>
          <w:kern w:val="0"/>
          <w:sz w:val="36"/>
          <w:szCs w:val="36"/>
          <w:lang w:eastAsia="en-GB"/>
          <w14:ligatures w14:val="none"/>
        </w:rPr>
      </w:pPr>
      <w:r w:rsidRPr="00266506">
        <w:rPr>
          <w:rFonts w:ascii="Times New Roman" w:eastAsia="Times New Roman" w:hAnsi="Times New Roman" w:cs="Times New Roman"/>
          <w:color w:val="000000"/>
          <w:kern w:val="0"/>
          <w:sz w:val="36"/>
          <w:szCs w:val="36"/>
          <w:lang w:eastAsia="en-GB"/>
          <w14:ligatures w14:val="none"/>
        </w:rPr>
        <w:t>On the respect for the principles of free and fair elections in Moldova during the September 2025 Parliamentary Elections</w:t>
      </w:r>
    </w:p>
    <w:p w:rsidR="00266506" w:rsidRPr="00266506" w:rsidRDefault="00266506" w:rsidP="00266506">
      <w:pPr>
        <w:spacing w:before="100" w:beforeAutospacing="1" w:after="100" w:afterAutospacing="1"/>
        <w:ind w:left="360"/>
        <w:jc w:val="center"/>
        <w:outlineLvl w:val="1"/>
        <w:rPr>
          <w:rFonts w:ascii="Times New Roman" w:eastAsia="Times New Roman" w:hAnsi="Times New Roman" w:cs="Times New Roman"/>
          <w:color w:val="000000"/>
          <w:kern w:val="0"/>
          <w:sz w:val="36"/>
          <w:szCs w:val="36"/>
          <w:lang w:eastAsia="en-GB"/>
          <w14:ligatures w14:val="none"/>
        </w:rPr>
      </w:pPr>
      <w:r w:rsidRPr="00266506">
        <w:rPr>
          <w:rFonts w:ascii="Times New Roman" w:eastAsia="Times New Roman" w:hAnsi="Times New Roman" w:cs="Times New Roman"/>
          <w:color w:val="000000"/>
          <w:kern w:val="0"/>
          <w:sz w:val="36"/>
          <w:szCs w:val="36"/>
          <w:lang w:eastAsia="en-GB"/>
          <w14:ligatures w14:val="none"/>
        </w:rPr>
        <w:t>(abridged report)</w:t>
      </w:r>
    </w:p>
    <w:p w:rsidR="007B1CAF" w:rsidRDefault="007B1CAF" w:rsidP="007B1CAF">
      <w:pPr>
        <w:spacing w:before="100" w:beforeAutospacing="1" w:after="100" w:afterAutospacing="1"/>
        <w:ind w:left="360"/>
        <w:jc w:val="both"/>
        <w:outlineLvl w:val="1"/>
        <w:rPr>
          <w:rFonts w:ascii="Times New Roman" w:eastAsia="Times New Roman" w:hAnsi="Times New Roman" w:cs="Times New Roman"/>
          <w:b/>
          <w:bCs/>
          <w:color w:val="000000"/>
          <w:kern w:val="0"/>
          <w:sz w:val="36"/>
          <w:szCs w:val="36"/>
          <w:lang w:eastAsia="en-GB"/>
          <w14:ligatures w14:val="none"/>
        </w:rPr>
      </w:pPr>
    </w:p>
    <w:p w:rsidR="00ED437C" w:rsidRPr="0096790B" w:rsidRDefault="00ED437C" w:rsidP="0096790B">
      <w:pPr>
        <w:pStyle w:val="Heading1"/>
        <w:numPr>
          <w:ilvl w:val="0"/>
          <w:numId w:val="5"/>
        </w:numPr>
        <w:rPr>
          <w:rFonts w:eastAsia="Times New Roman"/>
          <w:lang w:eastAsia="en-GB"/>
        </w:rPr>
      </w:pPr>
      <w:r w:rsidRPr="0096790B">
        <w:rPr>
          <w:rFonts w:eastAsia="Times New Roman"/>
          <w:lang w:eastAsia="en-GB"/>
        </w:rPr>
        <w:t>Introduction</w:t>
      </w:r>
    </w:p>
    <w:p w:rsidR="00ED437C" w:rsidRPr="00ED437C" w:rsidRDefault="00ED437C" w:rsidP="00790B5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This report examines the extent to which the parliamentary elections held in the Republic of Moldova on 28 September 2025 complied with the fundamental principles of free and fair elections. The assessment is conducted in light of applicable national legislation and relevant international standards, including commitments undertaken within the framework of the Council of Europe and the Organization for Security and Co-operation in Europe.</w:t>
      </w:r>
    </w:p>
    <w:p w:rsidR="00ED437C" w:rsidRPr="00ED437C" w:rsidRDefault="00ED437C" w:rsidP="00790B5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The evaluation focuses on key elements of the electoral process, including universal suffrage, equality of the vote, freedom of expression, political pluralism, transparency of electoral procedures, and the availability of effective remedies. Particular attention is paid to the practical implementation of these principles and to the extent to which voters were able to exercise their electoral rights effectively.</w:t>
      </w:r>
    </w:p>
    <w:p w:rsidR="00ED437C" w:rsidRPr="00ED437C" w:rsidRDefault="00ED437C"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The report is based on publicly available information, relevant legal provisions, and reported developments during the electoral period. Where appropriate, reference is made to information provided by various stakeholders, including public authorities, media sources, and civil society actors.</w:t>
      </w:r>
    </w:p>
    <w:p w:rsidR="00ED437C" w:rsidRPr="003C36DC" w:rsidRDefault="00ED437C" w:rsidP="0096790B">
      <w:pPr>
        <w:pStyle w:val="Heading1"/>
        <w:numPr>
          <w:ilvl w:val="0"/>
          <w:numId w:val="5"/>
        </w:numPr>
        <w:rPr>
          <w:rFonts w:eastAsia="Times New Roman"/>
          <w:lang w:eastAsia="en-GB"/>
        </w:rPr>
      </w:pPr>
      <w:r w:rsidRPr="003C36DC">
        <w:rPr>
          <w:rFonts w:eastAsia="Times New Roman"/>
          <w:lang w:eastAsia="en-GB"/>
        </w:rPr>
        <w:t>Legal and Institutional Framework</w:t>
      </w:r>
    </w:p>
    <w:p w:rsidR="00ED437C" w:rsidRPr="00ED437C" w:rsidRDefault="002A5094" w:rsidP="00790B51">
      <w:pPr>
        <w:spacing w:before="100" w:beforeAutospacing="1" w:after="100" w:afterAutospacing="1"/>
        <w:jc w:val="both"/>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The conduct of parliamentary elections in the Republic of Moldova is primarily governed by the Electoral Code and associated legislation. These legal instruments establish the framework for the organisation of elections, the registration of candidates, the conduct of electoral campaigns, and the administration of voting and counting procedures.</w:t>
      </w:r>
    </w:p>
    <w:p w:rsidR="00ED437C" w:rsidRPr="00ED437C" w:rsidRDefault="00ED437C" w:rsidP="00790B5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As a participating State of the Organization for Security and Co-operation in Europe and a member of the Council of Europe, the Republic of Moldova has undertaken to respect a range of democratic standards. These include the principles of universal, equal, free, and secret suffrage, as well as the requirement to ensure conditions for genuine political competition.</w:t>
      </w:r>
    </w:p>
    <w:p w:rsidR="00ED437C" w:rsidRDefault="00ED437C" w:rsidP="00790B51">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International standards further emphasize that electoral rights must be practical and effective. This includes not only the formal recognition of the right to vote, but also the provision of reasonable opportunities for voters to exercise this right without undue obstacles.</w:t>
      </w:r>
    </w:p>
    <w:p w:rsidR="00A46D13" w:rsidRPr="003C36DC" w:rsidRDefault="00A46D13" w:rsidP="0096790B">
      <w:pPr>
        <w:pStyle w:val="Heading1"/>
        <w:numPr>
          <w:ilvl w:val="0"/>
          <w:numId w:val="5"/>
        </w:numPr>
        <w:rPr>
          <w:rFonts w:eastAsia="Times New Roman"/>
          <w:lang w:eastAsia="en-GB"/>
        </w:rPr>
      </w:pPr>
      <w:r w:rsidRPr="003C36DC">
        <w:rPr>
          <w:rFonts w:eastAsia="Times New Roman"/>
          <w:lang w:eastAsia="en-GB"/>
        </w:rPr>
        <w:lastRenderedPageBreak/>
        <w:t>Scope and Methodology</w:t>
      </w:r>
    </w:p>
    <w:p w:rsidR="00A46D13" w:rsidRPr="00ED437C"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This report does not seek to provide an exhaustive account of all aspects of the electoral process. Rather, it focuses on issues that appear to have had a potential impact on the effective exercise of electoral rights and on the overall perception of the integrity of the elections.</w:t>
      </w:r>
    </w:p>
    <w:p w:rsidR="00A46D13" w:rsidRPr="00ED437C"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 xml:space="preserve">The analysis is based on a </w:t>
      </w:r>
      <w:r>
        <w:rPr>
          <w:rFonts w:ascii="Times New Roman" w:eastAsia="Times New Roman" w:hAnsi="Times New Roman" w:cs="Times New Roman"/>
          <w:color w:val="000000"/>
          <w:kern w:val="0"/>
          <w:lang w:eastAsia="en-GB"/>
          <w14:ligatures w14:val="none"/>
        </w:rPr>
        <w:t xml:space="preserve">collection and </w:t>
      </w:r>
      <w:r w:rsidRPr="00ED437C">
        <w:rPr>
          <w:rFonts w:ascii="Times New Roman" w:eastAsia="Times New Roman" w:hAnsi="Times New Roman" w:cs="Times New Roman"/>
          <w:color w:val="000000"/>
          <w:kern w:val="0"/>
          <w:lang w:eastAsia="en-GB"/>
          <w14:ligatures w14:val="none"/>
        </w:rPr>
        <w:t>review of relevant legal texts, publicly available reports, and information disseminated by media and other sources. Given the nature of the available information, certain findings are formulated in a cautious manner, reflecting the distinction between verified facts, reported allegations, and analytical assessments.</w:t>
      </w:r>
    </w:p>
    <w:p w:rsidR="003C36DC" w:rsidRPr="003C36DC" w:rsidRDefault="00A46D13" w:rsidP="003C36DC">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Where appropriate, the report uses qualifying language such as “reported,” “observed,” or “appeared,” to reflect the evidentiary basis of particular statements. This approach is intended to ensure both accuracy and neutrality.</w:t>
      </w:r>
    </w:p>
    <w:p w:rsidR="003C36DC" w:rsidRPr="00997FF7" w:rsidRDefault="00A46D13" w:rsidP="0096790B">
      <w:pPr>
        <w:pStyle w:val="Heading1"/>
        <w:numPr>
          <w:ilvl w:val="0"/>
          <w:numId w:val="5"/>
        </w:numPr>
        <w:rPr>
          <w:rFonts w:eastAsia="Times New Roman"/>
          <w:lang w:eastAsia="en-GB"/>
        </w:rPr>
      </w:pPr>
      <w:r w:rsidRPr="003C36DC">
        <w:rPr>
          <w:rFonts w:eastAsia="Times New Roman"/>
          <w:lang w:eastAsia="en-GB"/>
        </w:rPr>
        <w:t>General Observations</w:t>
      </w:r>
    </w:p>
    <w:p w:rsidR="00A46D13" w:rsidRPr="00ED437C"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The parliamentary elections of 28 September 2025 were conducted within an established institutional framework and in accordance with formal procedural requirements. Electoral administration bodies operated on the basis of existing legislation, and voting procedures generally followed prescribed rules.</w:t>
      </w:r>
    </w:p>
    <w:p w:rsidR="00A46D13" w:rsidRPr="00ED437C"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At the same time, a number of issues were identified that may have affected the extent to which certain electoral principles were fully realized in practice. These issues relate primarily to access to voting for specific groups of voters, the broader campaign environment, and certain aspects of the legal and institutional framework.</w:t>
      </w:r>
    </w:p>
    <w:p w:rsidR="00A46D13"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ED437C">
        <w:rPr>
          <w:rFonts w:ascii="Times New Roman" w:eastAsia="Times New Roman" w:hAnsi="Times New Roman" w:cs="Times New Roman"/>
          <w:color w:val="000000"/>
          <w:kern w:val="0"/>
          <w:lang w:eastAsia="en-GB"/>
          <w14:ligatures w14:val="none"/>
        </w:rPr>
        <w:t>In assessing these matters, particular importance is attached to the principle that electoral rights must be not only formally guaranteed but also effectively exercisable. Limitations affecting the practical ability of voters to participate may have implications for the overall assessment of the electoral process.</w:t>
      </w:r>
    </w:p>
    <w:p w:rsidR="004352D7" w:rsidRPr="00997FF7" w:rsidRDefault="00A46D13" w:rsidP="0096790B">
      <w:pPr>
        <w:pStyle w:val="Heading1"/>
        <w:numPr>
          <w:ilvl w:val="0"/>
          <w:numId w:val="5"/>
        </w:numPr>
        <w:rPr>
          <w:rFonts w:eastAsia="Times New Roman"/>
          <w:lang w:eastAsia="en-GB"/>
        </w:rPr>
      </w:pPr>
      <w:r w:rsidRPr="003C36DC">
        <w:rPr>
          <w:rFonts w:eastAsia="Times New Roman"/>
          <w:lang w:eastAsia="en-GB"/>
        </w:rPr>
        <w:t>Access to Voting: Citizens Residing Abroad</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A significant number of Moldovan citizens reside abroad, including a substantial population in Russia. The organization of voting for citizens abroad is therefore an important element in ensuring universal and equal suffrage.</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In this context, concerns were raised regarding the limited number of polling stations established in certain countries. In particular, the availability of only a small number of polling stations in the Russian Federation, despite the large number of potential voters residing there, appears to have restricted the practical ability of many citizens to participate in the elections.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Given the geographic size of the country and the distribution of the population, travel to polling stations may have required significant time and resources. As a result, the disparity between the number of voters and the available voting facilities may have affected the effective exercise of voting rights for a portion of the electorate.</w:t>
      </w:r>
    </w:p>
    <w:p w:rsidR="00A46D13"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lastRenderedPageBreak/>
        <w:t>While states retain a margin of discretion in organizing out-of-country voting, international standards emphasize the importance of ensuring that such arrangements do not result in disproportionate limitations on access to the vote.</w:t>
      </w:r>
    </w:p>
    <w:p w:rsidR="00A46D13" w:rsidRPr="003C36DC" w:rsidRDefault="00A46D13" w:rsidP="0096790B">
      <w:pPr>
        <w:pStyle w:val="Heading1"/>
        <w:numPr>
          <w:ilvl w:val="0"/>
          <w:numId w:val="5"/>
        </w:numPr>
        <w:rPr>
          <w:rFonts w:eastAsia="Times New Roman"/>
          <w:lang w:eastAsia="en-GB"/>
        </w:rPr>
      </w:pPr>
      <w:r w:rsidRPr="003C36DC">
        <w:rPr>
          <w:rFonts w:eastAsia="Times New Roman"/>
          <w:lang w:eastAsia="en-GB"/>
        </w:rPr>
        <w:t>Voting Arrangements Concerning the Transnistrian Region</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Voting for residents of Transnistria was organized exclusively at polling stations located in government-controlled territory of Moldova. This required voters from the region to travel across the administrative line in order to participate.</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Reports indicate that, on election day, restrictions on movement, including the blocking of certain bridge crossings, limited the ability of some voters to reach polling stations. In the absence of alternative voting arrangements within the territory, these circumstances may have reduced the practical opportunity for a segment of the electorate to exercise their right to vote.</w:t>
      </w:r>
    </w:p>
    <w:p w:rsidR="00A46D13"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In assessing this situation, it is relevant to consider both the legal framework and the practical conditions affecting voter mobility. Limitations on access to polling stations, even if not formal in nature, may have implications for the effective enjoyment of electoral rights.</w:t>
      </w:r>
    </w:p>
    <w:p w:rsidR="00A46D13" w:rsidRPr="003C36DC" w:rsidRDefault="00A46D13" w:rsidP="0096790B">
      <w:pPr>
        <w:pStyle w:val="Heading1"/>
        <w:numPr>
          <w:ilvl w:val="0"/>
          <w:numId w:val="5"/>
        </w:numPr>
        <w:rPr>
          <w:rFonts w:eastAsia="Times New Roman"/>
          <w:lang w:eastAsia="en-GB"/>
        </w:rPr>
      </w:pPr>
      <w:r w:rsidRPr="003C36DC">
        <w:rPr>
          <w:rFonts w:eastAsia="Times New Roman"/>
          <w:lang w:eastAsia="en-GB"/>
        </w:rPr>
        <w:t>Equality of the Vote and Practical Accessibility</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The principle of equality of the vote requires that all voters have an equal opportunity to participate in the electoral process. This includes not only the equal weight of votes, but also comparable access to voting facilities.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Disparities in the availability of polling stations, both within the country and abroad, may give rise to concerns regarding the equal exercise of voting rights. Where certain groups of voters face greater obstacles in accessing polling stations, this may affect the overall inclusiveness of the electoral process.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Ensuring equitable access to voting requires careful consideration of geographic, demographic, and logistical factors, as well as the adoption of measures aimed at minimizing barriers to participation.</w:t>
      </w:r>
    </w:p>
    <w:p w:rsidR="00A46D13" w:rsidRPr="003C36DC" w:rsidRDefault="00A46D13" w:rsidP="0096790B">
      <w:pPr>
        <w:pStyle w:val="Heading1"/>
        <w:numPr>
          <w:ilvl w:val="0"/>
          <w:numId w:val="5"/>
        </w:numPr>
        <w:rPr>
          <w:rFonts w:eastAsia="Times New Roman"/>
          <w:lang w:eastAsia="en-GB"/>
        </w:rPr>
      </w:pPr>
      <w:r w:rsidRPr="003C36DC">
        <w:rPr>
          <w:rFonts w:eastAsia="Times New Roman"/>
          <w:lang w:eastAsia="en-GB"/>
        </w:rPr>
        <w:t>Campaign Environment</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The electoral campaign took place in a competitive environment, with multiple political actors participating. At the same time, concerns were raised regarding certain aspects of the campaign conditions.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Reports indicated instances of the use of administrative resources in a manner that could benefit particular political actors. Such practices may affect the level playing field among contestants and raise questions regarding the separation between state functions and political campaigning.</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lastRenderedPageBreak/>
        <w:t>The media environment also presented challenges. While a diversity of outlets was available, issues related to balance, editorial independence, and equal access were noted. Uneven media coverage may influence voters’ ability to make informed choices.</w:t>
      </w:r>
    </w:p>
    <w:p w:rsidR="004352D7"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In addition, reports concerning actions affecting journalists and media professionals during the electoral period may have contributed to a perception of pressure on the media. Freedom of expression and access to information are essential components of a democratic electoral process</w:t>
      </w:r>
      <w:r>
        <w:rPr>
          <w:rFonts w:ascii="Times New Roman" w:eastAsia="Times New Roman" w:hAnsi="Times New Roman" w:cs="Times New Roman"/>
          <w:color w:val="000000"/>
          <w:kern w:val="0"/>
          <w:lang w:eastAsia="en-GB"/>
          <w14:ligatures w14:val="none"/>
        </w:rPr>
        <w:t>.</w:t>
      </w:r>
    </w:p>
    <w:p w:rsidR="00A46D13" w:rsidRPr="003C36DC" w:rsidRDefault="00A46D13" w:rsidP="0096790B">
      <w:pPr>
        <w:pStyle w:val="Heading1"/>
        <w:numPr>
          <w:ilvl w:val="0"/>
          <w:numId w:val="5"/>
        </w:numPr>
        <w:rPr>
          <w:rFonts w:eastAsia="Times New Roman"/>
          <w:lang w:eastAsia="en-GB"/>
        </w:rPr>
      </w:pPr>
      <w:r w:rsidRPr="003C36DC">
        <w:rPr>
          <w:rFonts w:eastAsia="Times New Roman"/>
          <w:lang w:eastAsia="en-GB"/>
        </w:rPr>
        <w:t>Legal Stability and Electoral Reforms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Changes to electoral legislation and related regulations were noted in the period preceding the elections. While legal reform is a normal aspect of electoral development, frequent or late amendments may create uncertainty and affect the predictability of the electoral framework.</w:t>
      </w:r>
    </w:p>
    <w:p w:rsidR="00A46D13"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Stability of electoral legislation is generally considered an important element of electoral integrity, as it allows all stakeholders to operate under clear and consistent rules.</w:t>
      </w:r>
    </w:p>
    <w:p w:rsidR="00A46D13" w:rsidRPr="003C36DC" w:rsidRDefault="00A46D13" w:rsidP="0096790B">
      <w:pPr>
        <w:pStyle w:val="Heading1"/>
        <w:numPr>
          <w:ilvl w:val="0"/>
          <w:numId w:val="5"/>
        </w:numPr>
        <w:rPr>
          <w:rFonts w:eastAsia="Times New Roman"/>
          <w:lang w:eastAsia="en-GB"/>
        </w:rPr>
      </w:pPr>
      <w:r w:rsidRPr="003C36DC">
        <w:rPr>
          <w:rFonts w:eastAsia="Times New Roman"/>
          <w:lang w:eastAsia="en-GB"/>
        </w:rPr>
        <w:t>Overall Assessment</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The parliamentary elections of 28 September 2025 in the Republic of Moldova were conducted within an established legal and institutional framework, and electoral procedures were generally implemented in accordance with formal requirements.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However, a number of factors appear to have affected the full realization of certain fundamental electoral principles in practice. These include limitations on effective access to voting for specific groups of voters, concerns regarding the equality of voting conditions, and issues related to the broader campaign environment.</w:t>
      </w:r>
    </w:p>
    <w:p w:rsidR="00A46D13"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Taken together, these elements may have had an impact on the inclusiveness of the electoral process and on public perceptions of its overall fairness.</w:t>
      </w:r>
    </w:p>
    <w:p w:rsidR="00A46D13" w:rsidRPr="003C36DC" w:rsidRDefault="00A46D13" w:rsidP="0096790B">
      <w:pPr>
        <w:pStyle w:val="Heading1"/>
        <w:numPr>
          <w:ilvl w:val="0"/>
          <w:numId w:val="5"/>
        </w:numPr>
        <w:rPr>
          <w:rFonts w:eastAsia="Times New Roman"/>
          <w:lang w:eastAsia="en-GB"/>
        </w:rPr>
      </w:pPr>
      <w:r w:rsidRPr="003C36DC">
        <w:rPr>
          <w:rFonts w:eastAsia="Times New Roman"/>
          <w:lang w:eastAsia="en-GB"/>
        </w:rPr>
        <w:t>Conclusions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While the elections were held in a structured and procedurally organized manner, certain shortcomings were identified in relation to the effective implementation of key principles of free and fair elections.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In particular, issues concerning access to voting for citizens residing abroad and for residents of the Transnistrian region highlight the importance of ensuring that electoral rights are not only formally guaranteed but also practically exercisable.</w:t>
      </w:r>
    </w:p>
    <w:p w:rsidR="00A46D13"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Addressing these challenges would contribute to strengthening public confidence in the electoral process and to enhancing compliance with international democratic standards.</w:t>
      </w:r>
    </w:p>
    <w:p w:rsidR="00A46D13" w:rsidRPr="003C36DC" w:rsidRDefault="00A46D13" w:rsidP="0096790B">
      <w:pPr>
        <w:pStyle w:val="Heading1"/>
        <w:numPr>
          <w:ilvl w:val="0"/>
          <w:numId w:val="5"/>
        </w:numPr>
        <w:rPr>
          <w:rFonts w:eastAsia="Times New Roman"/>
          <w:lang w:eastAsia="en-GB"/>
        </w:rPr>
      </w:pPr>
      <w:r w:rsidRPr="003C36DC">
        <w:rPr>
          <w:rFonts w:eastAsia="Times New Roman"/>
          <w:lang w:eastAsia="en-GB"/>
        </w:rPr>
        <w:lastRenderedPageBreak/>
        <w:t>Recommendations</w:t>
      </w: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In light of the above, consideration may be given to the following measures:</w:t>
      </w:r>
    </w:p>
    <w:p w:rsidR="00A46D13" w:rsidRPr="00790B51" w:rsidRDefault="00A46D13" w:rsidP="00A46D13">
      <w:pPr>
        <w:numPr>
          <w:ilvl w:val="0"/>
          <w:numId w:val="1"/>
        </w:num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Enhancing voting arrangements for citizens residing abroad, with a view to improving accessibility and proportionality</w:t>
      </w:r>
      <w:r w:rsidR="00921EAC">
        <w:rPr>
          <w:rFonts w:ascii="Times New Roman" w:eastAsia="Times New Roman" w:hAnsi="Times New Roman" w:cs="Times New Roman"/>
          <w:color w:val="000000"/>
          <w:kern w:val="0"/>
          <w:lang w:eastAsia="en-GB"/>
          <w14:ligatures w14:val="none"/>
        </w:rPr>
        <w:t>;</w:t>
      </w:r>
    </w:p>
    <w:p w:rsidR="00A46D13" w:rsidRPr="00790B51" w:rsidRDefault="00A46D13" w:rsidP="00A46D13">
      <w:pPr>
        <w:numPr>
          <w:ilvl w:val="0"/>
          <w:numId w:val="1"/>
        </w:num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 xml:space="preserve">Reviewing mechanisms to facilitate </w:t>
      </w:r>
      <w:r>
        <w:rPr>
          <w:rFonts w:ascii="Times New Roman" w:eastAsia="Times New Roman" w:hAnsi="Times New Roman" w:cs="Times New Roman"/>
          <w:color w:val="000000"/>
          <w:kern w:val="0"/>
          <w:lang w:eastAsia="en-GB"/>
          <w14:ligatures w14:val="none"/>
        </w:rPr>
        <w:t xml:space="preserve">the </w:t>
      </w:r>
      <w:r w:rsidRPr="00790B51">
        <w:rPr>
          <w:rFonts w:ascii="Times New Roman" w:eastAsia="Times New Roman" w:hAnsi="Times New Roman" w:cs="Times New Roman"/>
          <w:color w:val="000000"/>
          <w:kern w:val="0"/>
          <w:lang w:eastAsia="en-GB"/>
          <w14:ligatures w14:val="none"/>
        </w:rPr>
        <w:t>participation of voters from non-controlled territories, where feasible</w:t>
      </w:r>
      <w:r w:rsidR="00921EAC">
        <w:rPr>
          <w:rFonts w:ascii="Times New Roman" w:eastAsia="Times New Roman" w:hAnsi="Times New Roman" w:cs="Times New Roman"/>
          <w:color w:val="000000"/>
          <w:kern w:val="0"/>
          <w:lang w:eastAsia="en-GB"/>
          <w14:ligatures w14:val="none"/>
        </w:rPr>
        <w:t>;</w:t>
      </w:r>
    </w:p>
    <w:p w:rsidR="00A46D13" w:rsidRPr="00790B51" w:rsidRDefault="00A46D13" w:rsidP="00A46D13">
      <w:pPr>
        <w:numPr>
          <w:ilvl w:val="0"/>
          <w:numId w:val="1"/>
        </w:num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Strengthening safeguards against the misuse of administrative resources</w:t>
      </w:r>
      <w:r w:rsidR="00921EAC">
        <w:rPr>
          <w:rFonts w:ascii="Times New Roman" w:eastAsia="Times New Roman" w:hAnsi="Times New Roman" w:cs="Times New Roman"/>
          <w:color w:val="000000"/>
          <w:kern w:val="0"/>
          <w:lang w:eastAsia="en-GB"/>
          <w14:ligatures w14:val="none"/>
        </w:rPr>
        <w:t>;</w:t>
      </w:r>
    </w:p>
    <w:p w:rsidR="00A46D13" w:rsidRPr="00790B51" w:rsidRDefault="00A46D13" w:rsidP="00A46D13">
      <w:pPr>
        <w:numPr>
          <w:ilvl w:val="0"/>
          <w:numId w:val="1"/>
        </w:num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Promoting balanced and independent media coverage during electoral campaigns</w:t>
      </w:r>
      <w:r w:rsidR="00921EAC">
        <w:rPr>
          <w:rFonts w:ascii="Times New Roman" w:eastAsia="Times New Roman" w:hAnsi="Times New Roman" w:cs="Times New Roman"/>
          <w:color w:val="000000"/>
          <w:kern w:val="0"/>
          <w:lang w:eastAsia="en-GB"/>
          <w14:ligatures w14:val="none"/>
        </w:rPr>
        <w:t>;</w:t>
      </w:r>
    </w:p>
    <w:p w:rsidR="00A46D13" w:rsidRPr="00B449F3" w:rsidRDefault="00A46D13" w:rsidP="00A46D13">
      <w:pPr>
        <w:numPr>
          <w:ilvl w:val="0"/>
          <w:numId w:val="1"/>
        </w:numPr>
        <w:spacing w:before="100" w:beforeAutospacing="1" w:after="100" w:afterAutospacing="1"/>
        <w:jc w:val="both"/>
        <w:rPr>
          <w:rFonts w:ascii="Times New Roman" w:eastAsia="Times New Roman" w:hAnsi="Times New Roman" w:cs="Times New Roman"/>
          <w:color w:val="000000"/>
          <w:kern w:val="0"/>
          <w:lang w:eastAsia="en-GB"/>
          <w14:ligatures w14:val="none"/>
        </w:rPr>
      </w:pPr>
      <w:r w:rsidRPr="00790B51">
        <w:rPr>
          <w:rFonts w:ascii="Times New Roman" w:eastAsia="Times New Roman" w:hAnsi="Times New Roman" w:cs="Times New Roman"/>
          <w:color w:val="000000"/>
          <w:kern w:val="0"/>
          <w:lang w:eastAsia="en-GB"/>
          <w14:ligatures w14:val="none"/>
        </w:rPr>
        <w:t>Ensuring greater stability and transparency in electoral legislation</w:t>
      </w:r>
      <w:r w:rsidR="00086134">
        <w:rPr>
          <w:rFonts w:ascii="Times New Roman" w:eastAsia="Times New Roman" w:hAnsi="Times New Roman" w:cs="Times New Roman"/>
          <w:color w:val="000000"/>
          <w:kern w:val="0"/>
          <w:lang w:eastAsia="en-GB"/>
          <w14:ligatures w14:val="none"/>
        </w:rPr>
        <w:t>.</w:t>
      </w:r>
    </w:p>
    <w:p w:rsidR="00B449F3" w:rsidRDefault="00B449F3" w:rsidP="00B449F3">
      <w:pPr>
        <w:spacing w:before="100" w:beforeAutospacing="1" w:after="100" w:afterAutospacing="1"/>
        <w:jc w:val="both"/>
        <w:rPr>
          <w:rFonts w:ascii="Times New Roman" w:eastAsia="Times New Roman" w:hAnsi="Times New Roman" w:cs="Times New Roman"/>
          <w:color w:val="000000"/>
          <w:kern w:val="0"/>
          <w:lang w:val="en-US" w:eastAsia="en-GB"/>
          <w14:ligatures w14:val="none"/>
        </w:rPr>
      </w:pPr>
    </w:p>
    <w:p w:rsidR="00B449F3" w:rsidRPr="00B449F3" w:rsidRDefault="00B449F3" w:rsidP="00B449F3">
      <w:pPr>
        <w:pStyle w:val="NoSpacing"/>
        <w:jc w:val="center"/>
        <w:rPr>
          <w:rFonts w:ascii="Times New Roman" w:hAnsi="Times New Roman" w:cs="Times New Roman"/>
          <w:lang w:val="en-US" w:eastAsia="en-GB"/>
        </w:rPr>
      </w:pPr>
      <w:r w:rsidRPr="00B449F3">
        <w:rPr>
          <w:rFonts w:ascii="Times New Roman" w:hAnsi="Times New Roman" w:cs="Times New Roman"/>
          <w:lang w:val="en-US" w:eastAsia="en-GB"/>
        </w:rPr>
        <w:t>CADOD</w:t>
      </w:r>
    </w:p>
    <w:p w:rsidR="00B449F3" w:rsidRPr="00B449F3" w:rsidRDefault="00B449F3" w:rsidP="00B449F3">
      <w:pPr>
        <w:pStyle w:val="NoSpacing"/>
        <w:jc w:val="center"/>
        <w:rPr>
          <w:rFonts w:ascii="Times New Roman" w:hAnsi="Times New Roman" w:cs="Times New Roman"/>
          <w:lang w:eastAsia="en-GB"/>
        </w:rPr>
      </w:pPr>
      <w:r w:rsidRPr="00B449F3">
        <w:rPr>
          <w:rFonts w:ascii="Times New Roman" w:hAnsi="Times New Roman" w:cs="Times New Roman"/>
          <w:lang w:val="en-US" w:eastAsia="en-GB"/>
        </w:rPr>
        <w:t>2026</w:t>
      </w:r>
    </w:p>
    <w:p w:rsidR="00A46D13"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p>
    <w:p w:rsidR="00A46D13" w:rsidRPr="00790B51" w:rsidRDefault="00A46D13" w:rsidP="00A46D13">
      <w:pPr>
        <w:spacing w:before="100" w:beforeAutospacing="1" w:after="100" w:afterAutospacing="1"/>
        <w:jc w:val="both"/>
        <w:rPr>
          <w:rFonts w:ascii="Times New Roman" w:eastAsia="Times New Roman" w:hAnsi="Times New Roman" w:cs="Times New Roman"/>
          <w:color w:val="000000"/>
          <w:kern w:val="0"/>
          <w:lang w:eastAsia="en-GB"/>
          <w14:ligatures w14:val="none"/>
        </w:rPr>
      </w:pPr>
    </w:p>
    <w:p w:rsidR="00DD2CAA" w:rsidRDefault="00DD2CAA" w:rsidP="00790B51">
      <w:pPr>
        <w:jc w:val="both"/>
      </w:pPr>
    </w:p>
    <w:sectPr w:rsidR="00DD2CAA">
      <w:headerReference w:type="default" r:id="rId7"/>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15746" w:rsidRDefault="00D15746" w:rsidP="00F73C7D">
      <w:r>
        <w:separator/>
      </w:r>
    </w:p>
  </w:endnote>
  <w:endnote w:type="continuationSeparator" w:id="0">
    <w:p w:rsidR="00D15746" w:rsidRDefault="00D15746" w:rsidP="00F73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Edwardian Script ITC">
    <w:panose1 w:val="030303020407070D0804"/>
    <w:charset w:val="4D"/>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49174084"/>
      <w:docPartObj>
        <w:docPartGallery w:val="Page Numbers (Bottom of Page)"/>
        <w:docPartUnique/>
      </w:docPartObj>
    </w:sdtPr>
    <w:sdtContent>
      <w:p w:rsidR="00F73C7D" w:rsidRDefault="00F73C7D" w:rsidP="00CA217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rsidR="00F73C7D" w:rsidRDefault="00F73C7D" w:rsidP="00F73C7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08424121"/>
      <w:docPartObj>
        <w:docPartGallery w:val="Page Numbers (Bottom of Page)"/>
        <w:docPartUnique/>
      </w:docPartObj>
    </w:sdtPr>
    <w:sdtEndPr>
      <w:rPr>
        <w:rStyle w:val="PageNumber"/>
        <w:color w:val="4472C4" w:themeColor="accent1"/>
      </w:rPr>
    </w:sdtEndPr>
    <w:sdtContent>
      <w:p w:rsidR="00F73C7D" w:rsidRPr="0096790B" w:rsidRDefault="00F73C7D" w:rsidP="00CA2170">
        <w:pPr>
          <w:pStyle w:val="Footer"/>
          <w:framePr w:wrap="none" w:vAnchor="text" w:hAnchor="margin" w:xAlign="right" w:y="1"/>
          <w:rPr>
            <w:rStyle w:val="PageNumber"/>
            <w:color w:val="4472C4" w:themeColor="accent1"/>
          </w:rPr>
        </w:pPr>
        <w:r w:rsidRPr="0096790B">
          <w:rPr>
            <w:rStyle w:val="PageNumber"/>
            <w:color w:val="4472C4" w:themeColor="accent1"/>
          </w:rPr>
          <w:fldChar w:fldCharType="begin"/>
        </w:r>
        <w:r w:rsidRPr="0096790B">
          <w:rPr>
            <w:rStyle w:val="PageNumber"/>
            <w:color w:val="4472C4" w:themeColor="accent1"/>
          </w:rPr>
          <w:instrText xml:space="preserve"> PAGE </w:instrText>
        </w:r>
        <w:r w:rsidRPr="0096790B">
          <w:rPr>
            <w:rStyle w:val="PageNumber"/>
            <w:color w:val="4472C4" w:themeColor="accent1"/>
          </w:rPr>
          <w:fldChar w:fldCharType="separate"/>
        </w:r>
        <w:r w:rsidRPr="0096790B">
          <w:rPr>
            <w:rStyle w:val="PageNumber"/>
            <w:noProof/>
            <w:color w:val="4472C4" w:themeColor="accent1"/>
          </w:rPr>
          <w:t>1</w:t>
        </w:r>
        <w:r w:rsidRPr="0096790B">
          <w:rPr>
            <w:rStyle w:val="PageNumber"/>
            <w:color w:val="4472C4" w:themeColor="accent1"/>
          </w:rPr>
          <w:fldChar w:fldCharType="end"/>
        </w:r>
      </w:p>
    </w:sdtContent>
  </w:sdt>
  <w:p w:rsidR="00F73C7D" w:rsidRPr="0096790B" w:rsidRDefault="00F73C7D" w:rsidP="00F73C7D">
    <w:pPr>
      <w:pStyle w:val="Footer"/>
      <w:ind w:right="360"/>
      <w:rPr>
        <w:color w:val="4472C4" w:themeColor="accen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15746" w:rsidRDefault="00D15746" w:rsidP="00F73C7D">
      <w:r>
        <w:separator/>
      </w:r>
    </w:p>
  </w:footnote>
  <w:footnote w:type="continuationSeparator" w:id="0">
    <w:p w:rsidR="00D15746" w:rsidRDefault="00D15746" w:rsidP="00F73C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B1CAF" w:rsidRPr="00B449F3" w:rsidRDefault="007B1CAF" w:rsidP="007B1CAF">
    <w:pPr>
      <w:pStyle w:val="Header"/>
      <w:jc w:val="center"/>
      <w:rPr>
        <w:rFonts w:ascii="Edwardian Script ITC" w:hAnsi="Edwardian Script ITC"/>
        <w:color w:val="2F5496" w:themeColor="accent1" w:themeShade="BF"/>
        <w:sz w:val="36"/>
        <w:szCs w:val="36"/>
        <w:lang w:val="en-GB"/>
      </w:rPr>
    </w:pPr>
    <w:r w:rsidRPr="00B449F3">
      <w:rPr>
        <w:rFonts w:ascii="Edwardian Script ITC" w:hAnsi="Edwardian Script ITC"/>
        <w:color w:val="2F5496" w:themeColor="accent1" w:themeShade="BF"/>
        <w:sz w:val="36"/>
        <w:szCs w:val="36"/>
        <w:lang w:val="en-GB"/>
      </w:rPr>
      <w:t xml:space="preserve">International </w:t>
    </w:r>
    <w:proofErr w:type="spellStart"/>
    <w:r w:rsidRPr="00B449F3">
      <w:rPr>
        <w:rFonts w:ascii="Edwardian Script ITC" w:hAnsi="Edwardian Script ITC"/>
        <w:color w:val="2F5496" w:themeColor="accent1" w:themeShade="BF"/>
        <w:sz w:val="36"/>
        <w:szCs w:val="36"/>
        <w:lang w:val="en-GB"/>
      </w:rPr>
      <w:t>Center</w:t>
    </w:r>
    <w:proofErr w:type="spellEnd"/>
    <w:r w:rsidRPr="00B449F3">
      <w:rPr>
        <w:rFonts w:ascii="Edwardian Script ITC" w:hAnsi="Edwardian Script ITC"/>
        <w:color w:val="2F5496" w:themeColor="accent1" w:themeShade="BF"/>
        <w:sz w:val="36"/>
        <w:szCs w:val="36"/>
        <w:lang w:val="en-GB"/>
      </w:rPr>
      <w:t xml:space="preserve"> for the Protection of Human Rights and Democracy</w:t>
    </w:r>
  </w:p>
  <w:p w:rsidR="0096790B" w:rsidRDefault="0096790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E2297"/>
    <w:multiLevelType w:val="hybridMultilevel"/>
    <w:tmpl w:val="77F0CADC"/>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A96B8D"/>
    <w:multiLevelType w:val="hybridMultilevel"/>
    <w:tmpl w:val="37FE783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C354DC7"/>
    <w:multiLevelType w:val="hybridMultilevel"/>
    <w:tmpl w:val="482AD042"/>
    <w:lvl w:ilvl="0" w:tplc="8E42F4F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CFE728B"/>
    <w:multiLevelType w:val="multilevel"/>
    <w:tmpl w:val="2C5E6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D32751"/>
    <w:multiLevelType w:val="hybridMultilevel"/>
    <w:tmpl w:val="67AA6318"/>
    <w:lvl w:ilvl="0" w:tplc="8E42F4F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0120724">
    <w:abstractNumId w:val="3"/>
  </w:num>
  <w:num w:numId="2" w16cid:durableId="1582060565">
    <w:abstractNumId w:val="0"/>
  </w:num>
  <w:num w:numId="3" w16cid:durableId="1961837429">
    <w:abstractNumId w:val="1"/>
  </w:num>
  <w:num w:numId="4" w16cid:durableId="1748187040">
    <w:abstractNumId w:val="2"/>
  </w:num>
  <w:num w:numId="5" w16cid:durableId="316625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F48"/>
    <w:rsid w:val="00006A67"/>
    <w:rsid w:val="000269F0"/>
    <w:rsid w:val="00086134"/>
    <w:rsid w:val="00266506"/>
    <w:rsid w:val="002A5094"/>
    <w:rsid w:val="00384061"/>
    <w:rsid w:val="003B1586"/>
    <w:rsid w:val="003C36DC"/>
    <w:rsid w:val="004352D7"/>
    <w:rsid w:val="00494424"/>
    <w:rsid w:val="005373AE"/>
    <w:rsid w:val="00644E46"/>
    <w:rsid w:val="006876C3"/>
    <w:rsid w:val="00790B51"/>
    <w:rsid w:val="007B1CAF"/>
    <w:rsid w:val="00885D99"/>
    <w:rsid w:val="00892A69"/>
    <w:rsid w:val="00921EAC"/>
    <w:rsid w:val="0096790B"/>
    <w:rsid w:val="00997FF7"/>
    <w:rsid w:val="00A46D13"/>
    <w:rsid w:val="00A61DAC"/>
    <w:rsid w:val="00AF3A61"/>
    <w:rsid w:val="00B449F3"/>
    <w:rsid w:val="00CE4F1B"/>
    <w:rsid w:val="00CF6B6F"/>
    <w:rsid w:val="00D12278"/>
    <w:rsid w:val="00D15746"/>
    <w:rsid w:val="00DD2CAA"/>
    <w:rsid w:val="00E20579"/>
    <w:rsid w:val="00E4620B"/>
    <w:rsid w:val="00EA4148"/>
    <w:rsid w:val="00EB4F48"/>
    <w:rsid w:val="00ED437C"/>
    <w:rsid w:val="00EE5308"/>
    <w:rsid w:val="00EF42DB"/>
    <w:rsid w:val="00EF7112"/>
    <w:rsid w:val="00F07675"/>
    <w:rsid w:val="00F73C7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B192F"/>
  <w15:chartTrackingRefBased/>
  <w15:docId w15:val="{8C7DF11E-B5FB-A644-9695-B1A62B8C8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EB4F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B4F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B4F4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B4F4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B4F4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B4F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4F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4F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4F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F48"/>
    <w:rPr>
      <w:rFonts w:asciiTheme="majorHAnsi" w:eastAsiaTheme="majorEastAsia" w:hAnsiTheme="majorHAnsi" w:cstheme="majorBidi"/>
      <w:color w:val="2F5496" w:themeColor="accent1" w:themeShade="BF"/>
      <w:sz w:val="40"/>
      <w:szCs w:val="40"/>
      <w:lang w:val="ro-RO"/>
    </w:rPr>
  </w:style>
  <w:style w:type="character" w:customStyle="1" w:styleId="Heading2Char">
    <w:name w:val="Heading 2 Char"/>
    <w:basedOn w:val="DefaultParagraphFont"/>
    <w:link w:val="Heading2"/>
    <w:uiPriority w:val="9"/>
    <w:rsid w:val="00EB4F48"/>
    <w:rPr>
      <w:rFonts w:asciiTheme="majorHAnsi" w:eastAsiaTheme="majorEastAsia" w:hAnsiTheme="majorHAnsi" w:cstheme="majorBidi"/>
      <w:color w:val="2F5496" w:themeColor="accent1" w:themeShade="BF"/>
      <w:sz w:val="32"/>
      <w:szCs w:val="32"/>
      <w:lang w:val="ro-RO"/>
    </w:rPr>
  </w:style>
  <w:style w:type="character" w:customStyle="1" w:styleId="Heading3Char">
    <w:name w:val="Heading 3 Char"/>
    <w:basedOn w:val="DefaultParagraphFont"/>
    <w:link w:val="Heading3"/>
    <w:uiPriority w:val="9"/>
    <w:semiHidden/>
    <w:rsid w:val="00EB4F48"/>
    <w:rPr>
      <w:rFonts w:eastAsiaTheme="majorEastAsia" w:cstheme="majorBidi"/>
      <w:color w:val="2F5496" w:themeColor="accent1" w:themeShade="BF"/>
      <w:sz w:val="28"/>
      <w:szCs w:val="28"/>
      <w:lang w:val="ro-RO"/>
    </w:rPr>
  </w:style>
  <w:style w:type="character" w:customStyle="1" w:styleId="Heading4Char">
    <w:name w:val="Heading 4 Char"/>
    <w:basedOn w:val="DefaultParagraphFont"/>
    <w:link w:val="Heading4"/>
    <w:uiPriority w:val="9"/>
    <w:semiHidden/>
    <w:rsid w:val="00EB4F48"/>
    <w:rPr>
      <w:rFonts w:eastAsiaTheme="majorEastAsia" w:cstheme="majorBidi"/>
      <w:i/>
      <w:iCs/>
      <w:color w:val="2F5496" w:themeColor="accent1" w:themeShade="BF"/>
      <w:lang w:val="ro-RO"/>
    </w:rPr>
  </w:style>
  <w:style w:type="character" w:customStyle="1" w:styleId="Heading5Char">
    <w:name w:val="Heading 5 Char"/>
    <w:basedOn w:val="DefaultParagraphFont"/>
    <w:link w:val="Heading5"/>
    <w:uiPriority w:val="9"/>
    <w:semiHidden/>
    <w:rsid w:val="00EB4F48"/>
    <w:rPr>
      <w:rFonts w:eastAsiaTheme="majorEastAsia" w:cstheme="majorBidi"/>
      <w:color w:val="2F5496" w:themeColor="accent1" w:themeShade="BF"/>
      <w:lang w:val="ro-RO"/>
    </w:rPr>
  </w:style>
  <w:style w:type="character" w:customStyle="1" w:styleId="Heading6Char">
    <w:name w:val="Heading 6 Char"/>
    <w:basedOn w:val="DefaultParagraphFont"/>
    <w:link w:val="Heading6"/>
    <w:uiPriority w:val="9"/>
    <w:semiHidden/>
    <w:rsid w:val="00EB4F48"/>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EB4F48"/>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EB4F48"/>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EB4F48"/>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EB4F4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4F48"/>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EB4F4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4F48"/>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EB4F4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B4F48"/>
    <w:rPr>
      <w:i/>
      <w:iCs/>
      <w:color w:val="404040" w:themeColor="text1" w:themeTint="BF"/>
      <w:lang w:val="ro-RO"/>
    </w:rPr>
  </w:style>
  <w:style w:type="paragraph" w:styleId="ListParagraph">
    <w:name w:val="List Paragraph"/>
    <w:basedOn w:val="Normal"/>
    <w:uiPriority w:val="34"/>
    <w:qFormat/>
    <w:rsid w:val="00EB4F48"/>
    <w:pPr>
      <w:ind w:left="720"/>
      <w:contextualSpacing/>
    </w:pPr>
  </w:style>
  <w:style w:type="character" w:styleId="IntenseEmphasis">
    <w:name w:val="Intense Emphasis"/>
    <w:basedOn w:val="DefaultParagraphFont"/>
    <w:uiPriority w:val="21"/>
    <w:qFormat/>
    <w:rsid w:val="00EB4F48"/>
    <w:rPr>
      <w:i/>
      <w:iCs/>
      <w:color w:val="2F5496" w:themeColor="accent1" w:themeShade="BF"/>
    </w:rPr>
  </w:style>
  <w:style w:type="paragraph" w:styleId="IntenseQuote">
    <w:name w:val="Intense Quote"/>
    <w:basedOn w:val="Normal"/>
    <w:next w:val="Normal"/>
    <w:link w:val="IntenseQuoteChar"/>
    <w:uiPriority w:val="30"/>
    <w:qFormat/>
    <w:rsid w:val="00EB4F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B4F48"/>
    <w:rPr>
      <w:i/>
      <w:iCs/>
      <w:color w:val="2F5496" w:themeColor="accent1" w:themeShade="BF"/>
      <w:lang w:val="ro-RO"/>
    </w:rPr>
  </w:style>
  <w:style w:type="character" w:styleId="IntenseReference">
    <w:name w:val="Intense Reference"/>
    <w:basedOn w:val="DefaultParagraphFont"/>
    <w:uiPriority w:val="32"/>
    <w:qFormat/>
    <w:rsid w:val="00EB4F48"/>
    <w:rPr>
      <w:b/>
      <w:bCs/>
      <w:smallCaps/>
      <w:color w:val="2F5496" w:themeColor="accent1" w:themeShade="BF"/>
      <w:spacing w:val="5"/>
    </w:rPr>
  </w:style>
  <w:style w:type="paragraph" w:styleId="NormalWeb">
    <w:name w:val="Normal (Web)"/>
    <w:basedOn w:val="Normal"/>
    <w:uiPriority w:val="99"/>
    <w:semiHidden/>
    <w:unhideWhenUsed/>
    <w:rsid w:val="00ED437C"/>
    <w:pPr>
      <w:spacing w:before="100" w:beforeAutospacing="1" w:after="100" w:afterAutospacing="1"/>
    </w:pPr>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F73C7D"/>
    <w:pPr>
      <w:tabs>
        <w:tab w:val="center" w:pos="4513"/>
        <w:tab w:val="right" w:pos="9026"/>
      </w:tabs>
    </w:pPr>
  </w:style>
  <w:style w:type="character" w:customStyle="1" w:styleId="FooterChar">
    <w:name w:val="Footer Char"/>
    <w:basedOn w:val="DefaultParagraphFont"/>
    <w:link w:val="Footer"/>
    <w:uiPriority w:val="99"/>
    <w:rsid w:val="00F73C7D"/>
    <w:rPr>
      <w:lang w:val="ro-RO"/>
    </w:rPr>
  </w:style>
  <w:style w:type="character" w:styleId="PageNumber">
    <w:name w:val="page number"/>
    <w:basedOn w:val="DefaultParagraphFont"/>
    <w:uiPriority w:val="99"/>
    <w:semiHidden/>
    <w:unhideWhenUsed/>
    <w:rsid w:val="00F73C7D"/>
  </w:style>
  <w:style w:type="character" w:customStyle="1" w:styleId="apple-converted-space">
    <w:name w:val="apple-converted-space"/>
    <w:basedOn w:val="DefaultParagraphFont"/>
    <w:rsid w:val="00790B51"/>
  </w:style>
  <w:style w:type="character" w:customStyle="1" w:styleId="whitespace-normal">
    <w:name w:val="whitespace-normal"/>
    <w:basedOn w:val="DefaultParagraphFont"/>
    <w:rsid w:val="00790B51"/>
  </w:style>
  <w:style w:type="paragraph" w:styleId="Header">
    <w:name w:val="header"/>
    <w:basedOn w:val="Normal"/>
    <w:link w:val="HeaderChar"/>
    <w:uiPriority w:val="99"/>
    <w:unhideWhenUsed/>
    <w:rsid w:val="007B1CAF"/>
    <w:pPr>
      <w:tabs>
        <w:tab w:val="center" w:pos="4513"/>
        <w:tab w:val="right" w:pos="9026"/>
      </w:tabs>
    </w:pPr>
  </w:style>
  <w:style w:type="character" w:customStyle="1" w:styleId="HeaderChar">
    <w:name w:val="Header Char"/>
    <w:basedOn w:val="DefaultParagraphFont"/>
    <w:link w:val="Header"/>
    <w:uiPriority w:val="99"/>
    <w:rsid w:val="007B1CAF"/>
    <w:rPr>
      <w:lang w:val="ro-RO"/>
    </w:rPr>
  </w:style>
  <w:style w:type="paragraph" w:styleId="NoSpacing">
    <w:name w:val="No Spacing"/>
    <w:uiPriority w:val="1"/>
    <w:qFormat/>
    <w:rsid w:val="00B449F3"/>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1592</Words>
  <Characters>9075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Stanislav Pavlovschi</dc:creator>
  <cp:keywords/>
  <dc:description/>
  <cp:lastModifiedBy>Stanislav Pavlovschi</cp:lastModifiedBy>
  <cp:revision>3</cp:revision>
  <dcterms:created xsi:type="dcterms:W3CDTF">2026-03-31T05:29:00Z</dcterms:created>
  <dcterms:modified xsi:type="dcterms:W3CDTF">2026-03-31T05:31:00Z</dcterms:modified>
</cp:coreProperties>
</file>